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single" w:sz="8"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5682"/>
        <w:gridCol w:w="1388"/>
        <w:gridCol w:w="3136"/>
      </w:tblGrid>
      <w:tr w:rsidR="007E27CE" w:rsidTr="00EA243E">
        <w:tc>
          <w:tcPr>
            <w:tcW w:w="5778" w:type="dxa"/>
          </w:tcPr>
          <w:p w:rsidR="007E27CE" w:rsidRDefault="007E27CE" w:rsidP="00565B74">
            <w:pPr>
              <w:rPr>
                <w:rFonts w:ascii="Lato Black" w:hAnsi="Lato Black"/>
                <w:sz w:val="56"/>
                <w:szCs w:val="56"/>
              </w:rPr>
            </w:pPr>
            <w:bookmarkStart w:id="0" w:name="_GoBack"/>
            <w:bookmarkEnd w:id="0"/>
            <w:r w:rsidRPr="009F052F">
              <w:rPr>
                <w:rFonts w:ascii="Lato Black" w:hAnsi="Lato Black"/>
                <w:sz w:val="56"/>
                <w:szCs w:val="56"/>
              </w:rPr>
              <w:t xml:space="preserve">GROUNDWORK </w:t>
            </w:r>
          </w:p>
          <w:p w:rsidR="00565B74" w:rsidRPr="00565B74" w:rsidRDefault="00565B74" w:rsidP="00565B74">
            <w:pPr>
              <w:rPr>
                <w:rFonts w:ascii="Lato Light" w:hAnsi="Lato Light"/>
                <w:sz w:val="40"/>
                <w:szCs w:val="40"/>
              </w:rPr>
            </w:pPr>
            <w:r w:rsidRPr="00565B74">
              <w:rPr>
                <w:rFonts w:ascii="Lato Light" w:hAnsi="Lato Light"/>
                <w:sz w:val="40"/>
                <w:szCs w:val="40"/>
              </w:rPr>
              <w:t>CHANGING PLACES</w:t>
            </w:r>
          </w:p>
          <w:p w:rsidR="00565B74" w:rsidRPr="009F052F" w:rsidRDefault="00565B74" w:rsidP="00565B74">
            <w:pPr>
              <w:rPr>
                <w:sz w:val="56"/>
                <w:szCs w:val="56"/>
              </w:rPr>
            </w:pPr>
            <w:r w:rsidRPr="00565B74">
              <w:rPr>
                <w:rFonts w:ascii="Lato Light" w:hAnsi="Lato Light"/>
                <w:sz w:val="40"/>
                <w:szCs w:val="40"/>
              </w:rPr>
              <w:t>CHANGING LIVES</w:t>
            </w:r>
          </w:p>
        </w:tc>
        <w:tc>
          <w:tcPr>
            <w:tcW w:w="1483" w:type="dxa"/>
            <w:shd w:val="clear" w:color="auto" w:fill="auto"/>
          </w:tcPr>
          <w:p w:rsidR="007E27CE" w:rsidRDefault="007E27CE" w:rsidP="00FE71EE">
            <w:pPr>
              <w:jc w:val="center"/>
              <w:rPr>
                <w:noProof/>
                <w:lang w:eastAsia="en-GB"/>
              </w:rPr>
            </w:pPr>
          </w:p>
        </w:tc>
        <w:tc>
          <w:tcPr>
            <w:tcW w:w="3161" w:type="dxa"/>
            <w:vMerge w:val="restart"/>
            <w:shd w:val="clear" w:color="auto" w:fill="auto"/>
          </w:tcPr>
          <w:p w:rsidR="007E27CE" w:rsidRDefault="00EA243E" w:rsidP="00EA243E">
            <w:pPr>
              <w:jc w:val="right"/>
            </w:pPr>
            <w:r>
              <w:rPr>
                <w:noProof/>
                <w:lang w:eastAsia="en-GB"/>
              </w:rPr>
              <w:drawing>
                <wp:inline distT="0" distB="0" distL="0" distR="0" wp14:anchorId="0F59B834" wp14:editId="7FFC4EDF">
                  <wp:extent cx="1658803" cy="23474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ndwork-Logo-2016-wht-on-Grn-Ta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2455" cy="2352584"/>
                          </a:xfrm>
                          <a:prstGeom prst="rect">
                            <a:avLst/>
                          </a:prstGeom>
                        </pic:spPr>
                      </pic:pic>
                    </a:graphicData>
                  </a:graphic>
                </wp:inline>
              </w:drawing>
            </w:r>
          </w:p>
        </w:tc>
      </w:tr>
      <w:tr w:rsidR="007E27CE" w:rsidTr="00EA243E">
        <w:tc>
          <w:tcPr>
            <w:tcW w:w="5778" w:type="dxa"/>
          </w:tcPr>
          <w:p w:rsidR="007E27CE" w:rsidRDefault="007E27CE"/>
        </w:tc>
        <w:tc>
          <w:tcPr>
            <w:tcW w:w="1483" w:type="dxa"/>
            <w:shd w:val="clear" w:color="auto" w:fill="auto"/>
          </w:tcPr>
          <w:p w:rsidR="007E27CE" w:rsidRDefault="007E27CE"/>
        </w:tc>
        <w:tc>
          <w:tcPr>
            <w:tcW w:w="3161" w:type="dxa"/>
            <w:vMerge/>
            <w:shd w:val="clear" w:color="auto" w:fill="auto"/>
          </w:tcPr>
          <w:p w:rsidR="007E27CE" w:rsidRDefault="007E27CE" w:rsidP="00EA243E">
            <w:pPr>
              <w:jc w:val="right"/>
            </w:pPr>
          </w:p>
        </w:tc>
      </w:tr>
      <w:tr w:rsidR="007E27CE" w:rsidTr="00EA243E">
        <w:tc>
          <w:tcPr>
            <w:tcW w:w="5778" w:type="dxa"/>
          </w:tcPr>
          <w:p w:rsidR="007E27CE" w:rsidRDefault="007E27CE" w:rsidP="00FE71EE"/>
        </w:tc>
        <w:tc>
          <w:tcPr>
            <w:tcW w:w="1483" w:type="dxa"/>
            <w:shd w:val="clear" w:color="auto" w:fill="auto"/>
          </w:tcPr>
          <w:p w:rsidR="007E27CE" w:rsidRDefault="007E27CE"/>
        </w:tc>
        <w:tc>
          <w:tcPr>
            <w:tcW w:w="3161" w:type="dxa"/>
            <w:vMerge/>
            <w:shd w:val="clear" w:color="auto" w:fill="auto"/>
          </w:tcPr>
          <w:p w:rsidR="007E27CE" w:rsidRDefault="007E27CE" w:rsidP="00EA243E">
            <w:pPr>
              <w:jc w:val="right"/>
            </w:pPr>
          </w:p>
        </w:tc>
      </w:tr>
      <w:tr w:rsidR="007E27CE" w:rsidTr="00EA243E">
        <w:tc>
          <w:tcPr>
            <w:tcW w:w="5778" w:type="dxa"/>
          </w:tcPr>
          <w:p w:rsidR="007E27CE" w:rsidRDefault="007E27CE"/>
        </w:tc>
        <w:tc>
          <w:tcPr>
            <w:tcW w:w="1483" w:type="dxa"/>
            <w:shd w:val="clear" w:color="auto" w:fill="auto"/>
          </w:tcPr>
          <w:p w:rsidR="007E27CE" w:rsidRDefault="007E27CE"/>
        </w:tc>
        <w:tc>
          <w:tcPr>
            <w:tcW w:w="3161" w:type="dxa"/>
            <w:vMerge/>
            <w:shd w:val="clear" w:color="auto" w:fill="auto"/>
          </w:tcPr>
          <w:p w:rsidR="007E27CE" w:rsidRDefault="007E27CE" w:rsidP="00EA243E">
            <w:pPr>
              <w:jc w:val="right"/>
            </w:pPr>
          </w:p>
        </w:tc>
      </w:tr>
      <w:tr w:rsidR="007E27CE" w:rsidTr="00EA243E">
        <w:tc>
          <w:tcPr>
            <w:tcW w:w="5778" w:type="dxa"/>
          </w:tcPr>
          <w:p w:rsidR="007E27CE" w:rsidRDefault="007E27CE">
            <w:r>
              <w:rPr>
                <w:rFonts w:ascii="Lato Black" w:hAnsi="Lato Black"/>
                <w:noProof/>
                <w:sz w:val="48"/>
                <w:szCs w:val="48"/>
                <w:lang w:eastAsia="en-GB"/>
              </w:rPr>
              <w:drawing>
                <wp:inline distT="0" distB="0" distL="0" distR="0" wp14:anchorId="33BE7649" wp14:editId="2CCC9900">
                  <wp:extent cx="668741" cy="87749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le Arrow 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4903" cy="885577"/>
                          </a:xfrm>
                          <a:prstGeom prst="rect">
                            <a:avLst/>
                          </a:prstGeom>
                        </pic:spPr>
                      </pic:pic>
                    </a:graphicData>
                  </a:graphic>
                </wp:inline>
              </w:drawing>
            </w:r>
          </w:p>
        </w:tc>
        <w:tc>
          <w:tcPr>
            <w:tcW w:w="1483" w:type="dxa"/>
            <w:shd w:val="clear" w:color="auto" w:fill="auto"/>
          </w:tcPr>
          <w:p w:rsidR="007E27CE" w:rsidRDefault="007E27CE"/>
        </w:tc>
        <w:tc>
          <w:tcPr>
            <w:tcW w:w="3161" w:type="dxa"/>
            <w:vMerge/>
            <w:shd w:val="clear" w:color="auto" w:fill="auto"/>
          </w:tcPr>
          <w:p w:rsidR="007E27CE" w:rsidRDefault="007E27CE" w:rsidP="00EA243E">
            <w:pPr>
              <w:jc w:val="right"/>
            </w:pPr>
          </w:p>
        </w:tc>
      </w:tr>
      <w:tr w:rsidR="007E27CE" w:rsidTr="00EA243E">
        <w:tc>
          <w:tcPr>
            <w:tcW w:w="5778" w:type="dxa"/>
          </w:tcPr>
          <w:p w:rsidR="007E27CE" w:rsidRDefault="007E27CE">
            <w:pPr>
              <w:rPr>
                <w:rFonts w:ascii="Lato Black" w:hAnsi="Lato Black"/>
                <w:noProof/>
                <w:sz w:val="48"/>
                <w:szCs w:val="48"/>
                <w:lang w:eastAsia="en-GB"/>
              </w:rPr>
            </w:pPr>
          </w:p>
        </w:tc>
        <w:tc>
          <w:tcPr>
            <w:tcW w:w="1483" w:type="dxa"/>
            <w:shd w:val="clear" w:color="auto" w:fill="auto"/>
          </w:tcPr>
          <w:p w:rsidR="007E27CE" w:rsidRDefault="007E27CE"/>
        </w:tc>
        <w:tc>
          <w:tcPr>
            <w:tcW w:w="3161" w:type="dxa"/>
            <w:vMerge/>
            <w:shd w:val="clear" w:color="auto" w:fill="auto"/>
          </w:tcPr>
          <w:p w:rsidR="007E27CE" w:rsidRDefault="007E27CE" w:rsidP="00EA243E">
            <w:pPr>
              <w:jc w:val="right"/>
            </w:pPr>
          </w:p>
        </w:tc>
      </w:tr>
      <w:tr w:rsidR="007E27CE" w:rsidRPr="0077397B" w:rsidTr="0077397B">
        <w:trPr>
          <w:trHeight w:val="291"/>
        </w:trPr>
        <w:tc>
          <w:tcPr>
            <w:tcW w:w="5778" w:type="dxa"/>
          </w:tcPr>
          <w:p w:rsidR="007E27CE" w:rsidRPr="0077397B" w:rsidRDefault="007E27CE">
            <w:pPr>
              <w:rPr>
                <w:rFonts w:ascii="Lato Black" w:hAnsi="Lato Black"/>
                <w:noProof/>
                <w:lang w:eastAsia="en-GB"/>
              </w:rPr>
            </w:pPr>
          </w:p>
        </w:tc>
        <w:tc>
          <w:tcPr>
            <w:tcW w:w="1483" w:type="dxa"/>
          </w:tcPr>
          <w:p w:rsidR="007E27CE" w:rsidRPr="0077397B" w:rsidRDefault="007E27CE"/>
        </w:tc>
        <w:tc>
          <w:tcPr>
            <w:tcW w:w="3161" w:type="dxa"/>
            <w:shd w:val="clear" w:color="auto" w:fill="auto"/>
          </w:tcPr>
          <w:p w:rsidR="007E27CE" w:rsidRPr="0077397B" w:rsidRDefault="007E27CE" w:rsidP="00EA243E">
            <w:pPr>
              <w:jc w:val="right"/>
            </w:pPr>
          </w:p>
        </w:tc>
      </w:tr>
    </w:tbl>
    <w:p w:rsidR="009F4736" w:rsidRDefault="00110361" w:rsidP="009F4736">
      <w:pPr>
        <w:spacing w:after="0"/>
        <w:rPr>
          <w:rFonts w:ascii="Lato Black" w:hAnsi="Lato Black" w:cs="Arial"/>
          <w:b/>
          <w:sz w:val="40"/>
          <w:szCs w:val="40"/>
        </w:rPr>
      </w:pPr>
      <w:r>
        <w:rPr>
          <w:rFonts w:ascii="Lato Black" w:hAnsi="Lato Black" w:cs="Arial"/>
          <w:b/>
          <w:sz w:val="40"/>
          <w:szCs w:val="40"/>
        </w:rPr>
        <w:t>Learning programmes subcontractor</w:t>
      </w:r>
      <w:r w:rsidR="009F4736" w:rsidRPr="00463325">
        <w:rPr>
          <w:rFonts w:ascii="Lato Black" w:hAnsi="Lato Black" w:cs="Arial"/>
          <w:b/>
          <w:sz w:val="40"/>
          <w:szCs w:val="40"/>
        </w:rPr>
        <w:t xml:space="preserve"> policy</w:t>
      </w:r>
    </w:p>
    <w:p w:rsidR="00110361" w:rsidRPr="00FB5D17" w:rsidRDefault="00110361" w:rsidP="00FB5D17">
      <w:pPr>
        <w:pStyle w:val="NoSpacing"/>
        <w:rPr>
          <w:rFonts w:ascii="Lato" w:hAnsi="Lato"/>
          <w:sz w:val="28"/>
        </w:rPr>
      </w:pPr>
      <w:r w:rsidRPr="00FB5D17">
        <w:rPr>
          <w:rFonts w:ascii="Lato" w:hAnsi="Lato"/>
          <w:b/>
          <w:sz w:val="28"/>
        </w:rPr>
        <w:t>Date of last review</w:t>
      </w:r>
      <w:r w:rsidRPr="00FB5D17">
        <w:rPr>
          <w:rFonts w:ascii="Lato" w:hAnsi="Lato"/>
          <w:sz w:val="28"/>
        </w:rPr>
        <w:t>: August 2019</w:t>
      </w:r>
    </w:p>
    <w:p w:rsidR="00110361" w:rsidRPr="00FB5D17" w:rsidRDefault="00110361" w:rsidP="00FB5D17">
      <w:pPr>
        <w:pStyle w:val="NoSpacing"/>
        <w:rPr>
          <w:rFonts w:ascii="Lato" w:hAnsi="Lato"/>
          <w:sz w:val="28"/>
        </w:rPr>
      </w:pPr>
      <w:r w:rsidRPr="00FB5D17">
        <w:rPr>
          <w:rFonts w:ascii="Lato" w:hAnsi="Lato"/>
          <w:b/>
          <w:sz w:val="28"/>
        </w:rPr>
        <w:t>Date of next review</w:t>
      </w:r>
      <w:r w:rsidRPr="00FB5D17">
        <w:rPr>
          <w:rFonts w:ascii="Lato" w:hAnsi="Lato"/>
          <w:sz w:val="28"/>
        </w:rPr>
        <w:t>: August 2020</w:t>
      </w:r>
    </w:p>
    <w:p w:rsidR="00641933" w:rsidRPr="008E2250" w:rsidRDefault="00641933" w:rsidP="00641933">
      <w:pPr>
        <w:pStyle w:val="Default"/>
        <w:rPr>
          <w:rFonts w:ascii="Lato" w:eastAsia="Calibri" w:hAnsi="Lato" w:cs="Times New Roman"/>
          <w:color w:val="FF0000"/>
        </w:rPr>
      </w:pPr>
    </w:p>
    <w:p w:rsidR="00395675" w:rsidRPr="00463325" w:rsidRDefault="00395675" w:rsidP="00395675">
      <w:pPr>
        <w:spacing w:after="0"/>
        <w:rPr>
          <w:rFonts w:ascii="Lato" w:hAnsi="Lato" w:cs="Arial"/>
          <w:b/>
          <w:sz w:val="28"/>
          <w:szCs w:val="28"/>
        </w:rPr>
      </w:pPr>
      <w:r w:rsidRPr="00463325">
        <w:rPr>
          <w:rFonts w:ascii="Lato" w:hAnsi="Lato" w:cs="Arial"/>
          <w:b/>
          <w:sz w:val="28"/>
          <w:szCs w:val="28"/>
        </w:rPr>
        <w:t>Rationale</w:t>
      </w:r>
      <w:r>
        <w:rPr>
          <w:rFonts w:ascii="Lato" w:hAnsi="Lato" w:cs="Arial"/>
          <w:b/>
          <w:sz w:val="28"/>
          <w:szCs w:val="28"/>
        </w:rPr>
        <w:t xml:space="preserve"> </w:t>
      </w:r>
    </w:p>
    <w:p w:rsidR="00395675" w:rsidRDefault="00395675" w:rsidP="00395675">
      <w:pPr>
        <w:pStyle w:val="NoSpacing"/>
        <w:rPr>
          <w:rFonts w:ascii="Lato" w:hAnsi="Lato"/>
          <w:sz w:val="24"/>
          <w:szCs w:val="24"/>
        </w:rPr>
      </w:pPr>
      <w:r w:rsidRPr="00016E00">
        <w:rPr>
          <w:rFonts w:ascii="Lato" w:hAnsi="Lato"/>
          <w:sz w:val="24"/>
          <w:szCs w:val="24"/>
        </w:rPr>
        <w:t>Groundwork UK works to support Groundwork's local delivery through national relationships, resources and representation.</w:t>
      </w:r>
      <w:r>
        <w:rPr>
          <w:rFonts w:ascii="Lato" w:hAnsi="Lato"/>
          <w:sz w:val="24"/>
          <w:szCs w:val="24"/>
        </w:rPr>
        <w:t xml:space="preserve"> We manage major programmes and contracts delivered by local Groundwork Trusts and other delivery partners through subcontracting arrangements. All our learning programmes are delivered in this way, with no learning delivered directly by Groundwork UK. This provides a national delivery model with local reach, covering England, Northern Ireland and Wales.</w:t>
      </w:r>
    </w:p>
    <w:p w:rsidR="00395675" w:rsidRDefault="00395675" w:rsidP="00395675">
      <w:pPr>
        <w:pStyle w:val="NoSpacing"/>
        <w:rPr>
          <w:rFonts w:ascii="Lato" w:hAnsi="Lato"/>
          <w:sz w:val="24"/>
          <w:szCs w:val="24"/>
        </w:rPr>
      </w:pPr>
    </w:p>
    <w:p w:rsidR="00395675" w:rsidRPr="00463325" w:rsidRDefault="00395675" w:rsidP="00395675">
      <w:pPr>
        <w:pStyle w:val="NoSpacing"/>
        <w:rPr>
          <w:rFonts w:ascii="Lato" w:hAnsi="Lato"/>
          <w:color w:val="242424"/>
          <w:spacing w:val="5"/>
          <w:sz w:val="24"/>
          <w:szCs w:val="24"/>
          <w:shd w:val="clear" w:color="auto" w:fill="FFFFFF"/>
        </w:rPr>
      </w:pPr>
      <w:r w:rsidRPr="00463325">
        <w:rPr>
          <w:rFonts w:ascii="Lato" w:hAnsi="Lato"/>
          <w:sz w:val="24"/>
          <w:szCs w:val="24"/>
        </w:rPr>
        <w:t xml:space="preserve">Groundwork UK’s management model for contracts and programmes centres on collaboration and partnership, utilising an </w:t>
      </w:r>
      <w:r w:rsidRPr="00463325">
        <w:rPr>
          <w:rFonts w:ascii="Lato" w:hAnsi="Lato"/>
          <w:bCs/>
          <w:sz w:val="24"/>
          <w:szCs w:val="24"/>
        </w:rPr>
        <w:t>experienced supply chain</w:t>
      </w:r>
      <w:r w:rsidRPr="00463325">
        <w:rPr>
          <w:rFonts w:ascii="Lato" w:hAnsi="Lato"/>
          <w:sz w:val="24"/>
          <w:szCs w:val="24"/>
        </w:rPr>
        <w:t xml:space="preserve"> of organisations with a strong track record of engaging target groups and delivering tailored and effective interventions. At all times Groundwork UK ensures that the approaches and methods of our </w:t>
      </w:r>
      <w:r>
        <w:rPr>
          <w:rFonts w:ascii="Lato" w:hAnsi="Lato"/>
          <w:sz w:val="24"/>
          <w:szCs w:val="24"/>
        </w:rPr>
        <w:t>subcontractors</w:t>
      </w:r>
      <w:r w:rsidRPr="00463325">
        <w:rPr>
          <w:rFonts w:ascii="Lato" w:hAnsi="Lato"/>
          <w:sz w:val="24"/>
          <w:szCs w:val="24"/>
        </w:rPr>
        <w:t xml:space="preserve"> has</w:t>
      </w:r>
      <w:r w:rsidRPr="00463325">
        <w:rPr>
          <w:rFonts w:ascii="Lato" w:hAnsi="Lato"/>
          <w:color w:val="242424"/>
          <w:spacing w:val="5"/>
          <w:sz w:val="24"/>
          <w:szCs w:val="24"/>
          <w:shd w:val="clear" w:color="auto" w:fill="FFFFFF"/>
        </w:rPr>
        <w:t xml:space="preserve"> a clear strategic fit with our mission, objectives and values, and is in the best interests of learners. </w:t>
      </w:r>
    </w:p>
    <w:p w:rsidR="00395675" w:rsidRDefault="00395675" w:rsidP="00395675">
      <w:pPr>
        <w:spacing w:after="0"/>
        <w:rPr>
          <w:rFonts w:ascii="Lato Light" w:hAnsi="Lato Light" w:cs="Arial"/>
        </w:rPr>
      </w:pPr>
    </w:p>
    <w:p w:rsidR="00395675" w:rsidRPr="00463325" w:rsidRDefault="00395675" w:rsidP="00395675">
      <w:pPr>
        <w:spacing w:after="0"/>
        <w:rPr>
          <w:rFonts w:ascii="Lato" w:hAnsi="Lato" w:cs="Arial"/>
          <w:b/>
          <w:sz w:val="28"/>
          <w:szCs w:val="28"/>
        </w:rPr>
      </w:pPr>
      <w:r w:rsidRPr="00110361">
        <w:rPr>
          <w:rFonts w:ascii="Lato" w:hAnsi="Lato" w:cs="Arial"/>
          <w:b/>
          <w:sz w:val="28"/>
          <w:szCs w:val="28"/>
        </w:rPr>
        <w:t xml:space="preserve">Supply chain fees and charges </w:t>
      </w:r>
      <w:r>
        <w:rPr>
          <w:rFonts w:ascii="Lato" w:hAnsi="Lato" w:cs="Arial"/>
          <w:b/>
          <w:sz w:val="28"/>
          <w:szCs w:val="28"/>
        </w:rPr>
        <w:t>s</w:t>
      </w:r>
      <w:r w:rsidRPr="00463325">
        <w:rPr>
          <w:rFonts w:ascii="Lato" w:hAnsi="Lato" w:cs="Arial"/>
          <w:b/>
          <w:sz w:val="28"/>
          <w:szCs w:val="28"/>
        </w:rPr>
        <w:t>tatement</w:t>
      </w:r>
    </w:p>
    <w:p w:rsidR="00395675" w:rsidRPr="00463325" w:rsidRDefault="00395675" w:rsidP="00395675">
      <w:pPr>
        <w:pStyle w:val="NoSpacing"/>
        <w:rPr>
          <w:rFonts w:ascii="Lato" w:hAnsi="Lato"/>
          <w:sz w:val="24"/>
          <w:szCs w:val="24"/>
        </w:rPr>
      </w:pPr>
      <w:r w:rsidRPr="00463325">
        <w:rPr>
          <w:rFonts w:ascii="Lato" w:hAnsi="Lato"/>
          <w:sz w:val="24"/>
          <w:szCs w:val="24"/>
        </w:rPr>
        <w:t xml:space="preserve">It is Groundwork UK’s policy to be fair, open and transparent about the fees and charges it sets in relation to the management of contracts and programmes delivered by third parties.  As a responsible contractor Groundwork UK seeks always to ensure it balances fairly the need to retain sufficient resource to manage performance, quality and compliance while ensuring </w:t>
      </w:r>
      <w:r>
        <w:rPr>
          <w:rFonts w:ascii="Lato" w:hAnsi="Lato"/>
          <w:sz w:val="24"/>
          <w:szCs w:val="24"/>
        </w:rPr>
        <w:t>optimum</w:t>
      </w:r>
      <w:r w:rsidRPr="00463325">
        <w:rPr>
          <w:rFonts w:ascii="Lato" w:hAnsi="Lato"/>
          <w:sz w:val="24"/>
          <w:szCs w:val="24"/>
        </w:rPr>
        <w:t xml:space="preserve"> resource is available to </w:t>
      </w:r>
      <w:r w:rsidRPr="00463325">
        <w:rPr>
          <w:rFonts w:ascii="Lato" w:hAnsi="Lato"/>
          <w:sz w:val="24"/>
          <w:szCs w:val="24"/>
          <w:lang w:eastAsia="en-GB"/>
        </w:rPr>
        <w:t>subcontracted partner organisations</w:t>
      </w:r>
      <w:r w:rsidRPr="00463325">
        <w:rPr>
          <w:rFonts w:ascii="Lato" w:hAnsi="Lato"/>
          <w:sz w:val="24"/>
          <w:szCs w:val="24"/>
        </w:rPr>
        <w:t xml:space="preserve"> to enable high quality delivery and to support organisational development. </w:t>
      </w:r>
    </w:p>
    <w:p w:rsidR="00395675" w:rsidRPr="00525989" w:rsidRDefault="00395675" w:rsidP="00395675">
      <w:pPr>
        <w:pStyle w:val="NoSpacing"/>
        <w:rPr>
          <w:rFonts w:ascii="Lato Light" w:hAnsi="Lato Light"/>
        </w:rPr>
      </w:pPr>
    </w:p>
    <w:p w:rsidR="00395675" w:rsidRPr="00463325" w:rsidRDefault="00395675" w:rsidP="00395675">
      <w:pPr>
        <w:spacing w:after="0" w:line="240" w:lineRule="auto"/>
        <w:rPr>
          <w:rFonts w:ascii="Lato" w:hAnsi="Lato" w:cs="Arial"/>
          <w:b/>
          <w:sz w:val="28"/>
          <w:szCs w:val="28"/>
        </w:rPr>
      </w:pPr>
      <w:r w:rsidRPr="00463325">
        <w:rPr>
          <w:rFonts w:ascii="Lato" w:hAnsi="Lato" w:cs="Arial"/>
          <w:b/>
          <w:sz w:val="28"/>
          <w:szCs w:val="28"/>
        </w:rPr>
        <w:t xml:space="preserve">Fees and support </w:t>
      </w:r>
    </w:p>
    <w:p w:rsidR="00395675" w:rsidRDefault="00395675" w:rsidP="00395675">
      <w:pPr>
        <w:pStyle w:val="NoSpacing"/>
        <w:rPr>
          <w:rFonts w:ascii="Lato" w:hAnsi="Lato"/>
          <w:sz w:val="24"/>
          <w:szCs w:val="24"/>
          <w:lang w:eastAsia="en-GB"/>
        </w:rPr>
      </w:pPr>
      <w:r w:rsidRPr="00463325">
        <w:rPr>
          <w:rFonts w:ascii="Lato" w:hAnsi="Lato"/>
          <w:sz w:val="24"/>
          <w:szCs w:val="24"/>
          <w:lang w:eastAsia="en-GB"/>
        </w:rPr>
        <w:t xml:space="preserve">Groundwork UK aims to </w:t>
      </w:r>
      <w:r>
        <w:rPr>
          <w:rFonts w:ascii="Lato" w:hAnsi="Lato"/>
          <w:sz w:val="24"/>
          <w:szCs w:val="24"/>
          <w:lang w:eastAsia="en-GB"/>
        </w:rPr>
        <w:t>act as</w:t>
      </w:r>
      <w:r w:rsidRPr="00463325">
        <w:rPr>
          <w:rFonts w:ascii="Lato" w:hAnsi="Lato"/>
          <w:sz w:val="24"/>
          <w:szCs w:val="24"/>
          <w:lang w:eastAsia="en-GB"/>
        </w:rPr>
        <w:t xml:space="preserve"> an effective, efficient and ethical prime contractor.  We recognise that every programme, contract and supply chain we manage will be different, requiring a tailored approach to management</w:t>
      </w:r>
      <w:r>
        <w:rPr>
          <w:rFonts w:ascii="Lato" w:hAnsi="Lato"/>
          <w:sz w:val="24"/>
          <w:szCs w:val="24"/>
          <w:lang w:eastAsia="en-GB"/>
        </w:rPr>
        <w:t>, quality</w:t>
      </w:r>
      <w:r w:rsidRPr="00463325">
        <w:rPr>
          <w:rFonts w:ascii="Lato" w:hAnsi="Lato"/>
          <w:sz w:val="24"/>
          <w:szCs w:val="24"/>
          <w:lang w:eastAsia="en-GB"/>
        </w:rPr>
        <w:t xml:space="preserve"> and support.  In order to resource this management, we retain a </w:t>
      </w:r>
      <w:r w:rsidRPr="00463325">
        <w:rPr>
          <w:rFonts w:ascii="Lato" w:hAnsi="Lato"/>
          <w:sz w:val="24"/>
          <w:szCs w:val="24"/>
          <w:lang w:eastAsia="en-GB"/>
        </w:rPr>
        <w:lastRenderedPageBreak/>
        <w:t>management fee from all subcontracted partner organisations,</w:t>
      </w:r>
      <w:r>
        <w:rPr>
          <w:rFonts w:ascii="Lato" w:hAnsi="Lato"/>
          <w:sz w:val="24"/>
          <w:szCs w:val="24"/>
          <w:lang w:eastAsia="en-GB"/>
        </w:rPr>
        <w:t xml:space="preserve"> which</w:t>
      </w:r>
      <w:r w:rsidRPr="00463325">
        <w:rPr>
          <w:rFonts w:ascii="Lato" w:hAnsi="Lato"/>
          <w:sz w:val="24"/>
          <w:szCs w:val="24"/>
          <w:lang w:eastAsia="en-GB"/>
        </w:rPr>
        <w:t xml:space="preserve"> typically rang</w:t>
      </w:r>
      <w:r>
        <w:rPr>
          <w:rFonts w:ascii="Lato" w:hAnsi="Lato"/>
          <w:sz w:val="24"/>
          <w:szCs w:val="24"/>
          <w:lang w:eastAsia="en-GB"/>
        </w:rPr>
        <w:t>es</w:t>
      </w:r>
      <w:r w:rsidRPr="00463325">
        <w:rPr>
          <w:rFonts w:ascii="Lato" w:hAnsi="Lato"/>
          <w:sz w:val="24"/>
          <w:szCs w:val="24"/>
          <w:lang w:eastAsia="en-GB"/>
        </w:rPr>
        <w:t xml:space="preserve"> from 10% to 20%.</w:t>
      </w:r>
      <w:r>
        <w:rPr>
          <w:rFonts w:ascii="Lato" w:hAnsi="Lato"/>
          <w:sz w:val="24"/>
          <w:szCs w:val="24"/>
          <w:lang w:eastAsia="en-GB"/>
        </w:rPr>
        <w:t xml:space="preserve"> However, this is not fixed.</w:t>
      </w:r>
    </w:p>
    <w:p w:rsidR="00395675" w:rsidRDefault="00395675" w:rsidP="00395675">
      <w:pPr>
        <w:pStyle w:val="NoSpacing"/>
        <w:rPr>
          <w:rFonts w:ascii="Lato" w:hAnsi="Lato"/>
          <w:sz w:val="24"/>
          <w:szCs w:val="24"/>
          <w:lang w:eastAsia="en-GB"/>
        </w:rPr>
      </w:pPr>
    </w:p>
    <w:p w:rsidR="00395675" w:rsidRPr="00463325" w:rsidRDefault="00395675" w:rsidP="00395675">
      <w:pPr>
        <w:pStyle w:val="NoSpacing"/>
        <w:rPr>
          <w:rFonts w:ascii="Lato" w:hAnsi="Lato"/>
          <w:sz w:val="24"/>
          <w:szCs w:val="24"/>
        </w:rPr>
      </w:pPr>
      <w:r w:rsidRPr="00463325">
        <w:rPr>
          <w:rFonts w:ascii="Lato" w:hAnsi="Lato"/>
          <w:sz w:val="24"/>
          <w:szCs w:val="24"/>
          <w:lang w:eastAsia="en-GB"/>
        </w:rPr>
        <w:t xml:space="preserve">The fees charged reflect the cost of the procurement process, management requirements of the commissioner and support required by subcontracted partner organisations. </w:t>
      </w:r>
      <w:r w:rsidRPr="00463325">
        <w:rPr>
          <w:rFonts w:ascii="Lato" w:hAnsi="Lato"/>
          <w:sz w:val="24"/>
          <w:szCs w:val="24"/>
          <w:shd w:val="clear" w:color="auto" w:fill="FFFFFF"/>
        </w:rPr>
        <w:t xml:space="preserve">Not all </w:t>
      </w:r>
      <w:r w:rsidRPr="00463325">
        <w:rPr>
          <w:rFonts w:ascii="Lato" w:hAnsi="Lato"/>
          <w:sz w:val="24"/>
          <w:szCs w:val="24"/>
          <w:lang w:eastAsia="en-GB"/>
        </w:rPr>
        <w:t>subcontracted partner organisations</w:t>
      </w:r>
      <w:r w:rsidRPr="00463325">
        <w:rPr>
          <w:rFonts w:ascii="Lato" w:hAnsi="Lato"/>
          <w:sz w:val="24"/>
          <w:szCs w:val="24"/>
          <w:shd w:val="clear" w:color="auto" w:fill="FFFFFF"/>
        </w:rPr>
        <w:t xml:space="preserve"> are charged the same management fee with the differences in fees being dependent upon the level of support required, the experience of the </w:t>
      </w:r>
      <w:r w:rsidRPr="00463325">
        <w:rPr>
          <w:rFonts w:ascii="Lato" w:hAnsi="Lato"/>
          <w:sz w:val="24"/>
          <w:szCs w:val="24"/>
          <w:lang w:eastAsia="en-GB"/>
        </w:rPr>
        <w:t>sub</w:t>
      </w:r>
      <w:r>
        <w:rPr>
          <w:rFonts w:ascii="Lato" w:hAnsi="Lato"/>
          <w:sz w:val="24"/>
          <w:szCs w:val="24"/>
          <w:lang w:eastAsia="en-GB"/>
        </w:rPr>
        <w:t>contracted partner organisation</w:t>
      </w:r>
      <w:r w:rsidRPr="00463325">
        <w:rPr>
          <w:rFonts w:ascii="Lato" w:hAnsi="Lato"/>
          <w:sz w:val="24"/>
          <w:szCs w:val="24"/>
          <w:shd w:val="clear" w:color="auto" w:fill="FFFFFF"/>
        </w:rPr>
        <w:t>, their target learners, track record, published success rates and the level of risk as determined by our due diligence process.</w:t>
      </w:r>
      <w:r w:rsidRPr="00463325">
        <w:rPr>
          <w:rFonts w:ascii="Lato" w:hAnsi="Lato"/>
          <w:sz w:val="24"/>
          <w:szCs w:val="24"/>
          <w:lang w:eastAsia="en-GB"/>
        </w:rPr>
        <w:t xml:space="preserve"> The exact mix and level of support for each sub</w:t>
      </w:r>
      <w:r>
        <w:rPr>
          <w:rFonts w:ascii="Lato" w:hAnsi="Lato"/>
          <w:sz w:val="24"/>
          <w:szCs w:val="24"/>
          <w:lang w:eastAsia="en-GB"/>
        </w:rPr>
        <w:t>contracted partner organisation</w:t>
      </w:r>
      <w:r w:rsidRPr="00463325">
        <w:rPr>
          <w:rFonts w:ascii="Lato" w:hAnsi="Lato"/>
          <w:sz w:val="24"/>
          <w:szCs w:val="24"/>
          <w:lang w:eastAsia="en-GB"/>
        </w:rPr>
        <w:t xml:space="preserve"> will vary. Management fees help us provide </w:t>
      </w:r>
      <w:r w:rsidRPr="00463325">
        <w:rPr>
          <w:rFonts w:ascii="Lato" w:hAnsi="Lato"/>
          <w:sz w:val="24"/>
          <w:szCs w:val="24"/>
        </w:rPr>
        <w:t xml:space="preserve">the following support and service for our </w:t>
      </w:r>
      <w:r w:rsidRPr="00463325">
        <w:rPr>
          <w:rFonts w:ascii="Lato" w:hAnsi="Lato"/>
          <w:sz w:val="24"/>
          <w:szCs w:val="24"/>
          <w:lang w:eastAsia="en-GB"/>
        </w:rPr>
        <w:t>subcontracted partner organisations</w:t>
      </w:r>
      <w:r w:rsidRPr="00463325">
        <w:rPr>
          <w:rFonts w:ascii="Lato" w:hAnsi="Lato"/>
          <w:sz w:val="24"/>
          <w:szCs w:val="24"/>
        </w:rPr>
        <w:t xml:space="preserve">: </w:t>
      </w:r>
    </w:p>
    <w:p w:rsidR="00395675" w:rsidRPr="00463325" w:rsidRDefault="00395675" w:rsidP="00395675">
      <w:pPr>
        <w:shd w:val="clear" w:color="auto" w:fill="FFFFFF"/>
        <w:spacing w:after="0" w:line="288" w:lineRule="atLeast"/>
        <w:rPr>
          <w:rFonts w:ascii="Lato" w:hAnsi="Lato" w:cs="Arial"/>
        </w:rPr>
      </w:pPr>
    </w:p>
    <w:p w:rsidR="00395675" w:rsidRPr="00463325" w:rsidRDefault="00395675" w:rsidP="00395675">
      <w:pPr>
        <w:pStyle w:val="ListParagraph"/>
        <w:numPr>
          <w:ilvl w:val="0"/>
          <w:numId w:val="11"/>
        </w:numPr>
        <w:spacing w:after="0" w:line="240" w:lineRule="auto"/>
        <w:contextualSpacing w:val="0"/>
        <w:rPr>
          <w:rFonts w:ascii="Lato" w:hAnsi="Lato"/>
          <w:sz w:val="24"/>
          <w:szCs w:val="24"/>
        </w:rPr>
      </w:pPr>
      <w:r w:rsidRPr="00463325">
        <w:rPr>
          <w:rFonts w:ascii="Lato" w:hAnsi="Lato"/>
          <w:sz w:val="24"/>
          <w:szCs w:val="24"/>
        </w:rPr>
        <w:t>pre-contract and implementation meetings and support</w:t>
      </w:r>
    </w:p>
    <w:p w:rsidR="00395675" w:rsidRPr="00463325" w:rsidRDefault="00395675" w:rsidP="00395675">
      <w:pPr>
        <w:pStyle w:val="ListParagraph"/>
        <w:numPr>
          <w:ilvl w:val="0"/>
          <w:numId w:val="11"/>
        </w:numPr>
        <w:spacing w:after="0" w:line="240" w:lineRule="auto"/>
        <w:contextualSpacing w:val="0"/>
        <w:rPr>
          <w:rFonts w:ascii="Lato" w:hAnsi="Lato"/>
          <w:sz w:val="24"/>
          <w:szCs w:val="24"/>
        </w:rPr>
      </w:pPr>
      <w:r w:rsidRPr="00463325">
        <w:rPr>
          <w:rFonts w:ascii="Lato" w:hAnsi="Lato"/>
          <w:sz w:val="24"/>
          <w:szCs w:val="24"/>
        </w:rPr>
        <w:t xml:space="preserve">processing and checking </w:t>
      </w:r>
      <w:r w:rsidRPr="0077397B">
        <w:rPr>
          <w:rFonts w:ascii="Lato" w:hAnsi="Lato"/>
          <w:sz w:val="24"/>
          <w:szCs w:val="24"/>
        </w:rPr>
        <w:t xml:space="preserve">of all deliverable </w:t>
      </w:r>
      <w:r w:rsidRPr="00463325">
        <w:rPr>
          <w:rFonts w:ascii="Lato" w:hAnsi="Lato"/>
          <w:sz w:val="24"/>
          <w:szCs w:val="24"/>
        </w:rPr>
        <w:t xml:space="preserve">achievement documentation </w:t>
      </w:r>
    </w:p>
    <w:p w:rsidR="00395675" w:rsidRPr="00463325" w:rsidRDefault="00395675" w:rsidP="00395675">
      <w:pPr>
        <w:pStyle w:val="ListParagraph"/>
        <w:numPr>
          <w:ilvl w:val="0"/>
          <w:numId w:val="11"/>
        </w:numPr>
        <w:spacing w:after="0" w:line="240" w:lineRule="auto"/>
        <w:contextualSpacing w:val="0"/>
        <w:rPr>
          <w:rFonts w:ascii="Lato" w:hAnsi="Lato"/>
          <w:sz w:val="24"/>
          <w:szCs w:val="24"/>
        </w:rPr>
      </w:pPr>
      <w:r w:rsidRPr="00463325">
        <w:rPr>
          <w:rFonts w:ascii="Lato" w:hAnsi="Lato"/>
          <w:sz w:val="24"/>
          <w:szCs w:val="24"/>
        </w:rPr>
        <w:t>regular monitoring visits with detailed feedback identifying good practice and areas for improvement </w:t>
      </w:r>
    </w:p>
    <w:p w:rsidR="00395675" w:rsidRDefault="00395675" w:rsidP="00395675">
      <w:pPr>
        <w:pStyle w:val="ListParagraph"/>
        <w:numPr>
          <w:ilvl w:val="0"/>
          <w:numId w:val="11"/>
        </w:numPr>
        <w:spacing w:after="0" w:line="240" w:lineRule="auto"/>
        <w:contextualSpacing w:val="0"/>
        <w:rPr>
          <w:rFonts w:ascii="Lato" w:hAnsi="Lato"/>
          <w:sz w:val="24"/>
          <w:szCs w:val="24"/>
        </w:rPr>
      </w:pPr>
      <w:r w:rsidRPr="00463325">
        <w:rPr>
          <w:rFonts w:ascii="Lato" w:hAnsi="Lato"/>
          <w:sz w:val="24"/>
          <w:szCs w:val="24"/>
        </w:rPr>
        <w:t xml:space="preserve">regular compliance checks </w:t>
      </w:r>
    </w:p>
    <w:p w:rsidR="00395675" w:rsidRPr="00463325" w:rsidRDefault="00395675" w:rsidP="00395675">
      <w:pPr>
        <w:pStyle w:val="ListParagraph"/>
        <w:numPr>
          <w:ilvl w:val="0"/>
          <w:numId w:val="11"/>
        </w:numPr>
        <w:spacing w:after="0" w:line="240" w:lineRule="auto"/>
        <w:contextualSpacing w:val="0"/>
        <w:rPr>
          <w:rFonts w:ascii="Lato" w:hAnsi="Lato"/>
          <w:sz w:val="24"/>
          <w:szCs w:val="24"/>
        </w:rPr>
      </w:pPr>
      <w:r>
        <w:rPr>
          <w:rFonts w:ascii="Lato" w:hAnsi="Lato"/>
          <w:sz w:val="24"/>
          <w:szCs w:val="24"/>
        </w:rPr>
        <w:t>quality management system and process</w:t>
      </w:r>
    </w:p>
    <w:p w:rsidR="00395675" w:rsidRDefault="00395675" w:rsidP="00395675">
      <w:pPr>
        <w:pStyle w:val="ListParagraph"/>
        <w:numPr>
          <w:ilvl w:val="0"/>
          <w:numId w:val="11"/>
        </w:numPr>
        <w:spacing w:after="0" w:line="240" w:lineRule="auto"/>
        <w:contextualSpacing w:val="0"/>
        <w:rPr>
          <w:rFonts w:ascii="Lato" w:hAnsi="Lato"/>
          <w:sz w:val="24"/>
          <w:szCs w:val="24"/>
        </w:rPr>
      </w:pPr>
      <w:r>
        <w:rPr>
          <w:rFonts w:ascii="Lato" w:hAnsi="Lato"/>
          <w:sz w:val="24"/>
          <w:szCs w:val="24"/>
        </w:rPr>
        <w:t>partnership meetings</w:t>
      </w:r>
    </w:p>
    <w:p w:rsidR="00395675" w:rsidRPr="006B6271" w:rsidRDefault="00395675" w:rsidP="00395675">
      <w:pPr>
        <w:pStyle w:val="ListParagraph"/>
        <w:numPr>
          <w:ilvl w:val="0"/>
          <w:numId w:val="11"/>
        </w:numPr>
        <w:spacing w:after="0" w:line="240" w:lineRule="auto"/>
        <w:contextualSpacing w:val="0"/>
        <w:rPr>
          <w:rFonts w:ascii="Lato" w:eastAsia="Calibri" w:hAnsi="Lato" w:cs="Times New Roman"/>
          <w:sz w:val="24"/>
          <w:szCs w:val="24"/>
        </w:rPr>
      </w:pPr>
      <w:r>
        <w:rPr>
          <w:rFonts w:ascii="Lato" w:eastAsia="Calibri" w:hAnsi="Lato" w:cs="Times New Roman"/>
          <w:sz w:val="24"/>
          <w:szCs w:val="24"/>
        </w:rPr>
        <w:t>m</w:t>
      </w:r>
      <w:r w:rsidRPr="006B6271">
        <w:rPr>
          <w:rFonts w:ascii="Lato" w:eastAsia="Calibri" w:hAnsi="Lato" w:cs="Times New Roman"/>
          <w:sz w:val="24"/>
          <w:szCs w:val="24"/>
        </w:rPr>
        <w:t>anagement information system and support</w:t>
      </w:r>
    </w:p>
    <w:p w:rsidR="00395675" w:rsidRPr="00A06825" w:rsidRDefault="00395675" w:rsidP="00395675">
      <w:pPr>
        <w:pStyle w:val="NoSpacing"/>
        <w:rPr>
          <w:rFonts w:ascii="Lato" w:hAnsi="Lato"/>
          <w:sz w:val="24"/>
          <w:szCs w:val="24"/>
          <w:lang w:eastAsia="en-GB"/>
        </w:rPr>
      </w:pPr>
    </w:p>
    <w:p w:rsidR="00395675" w:rsidRPr="00A06825" w:rsidRDefault="00395675" w:rsidP="00395675">
      <w:pPr>
        <w:pStyle w:val="NoSpacing"/>
        <w:rPr>
          <w:rFonts w:ascii="Lato" w:hAnsi="Lato"/>
          <w:sz w:val="24"/>
          <w:szCs w:val="24"/>
          <w:lang w:eastAsia="en-GB"/>
        </w:rPr>
      </w:pPr>
      <w:r w:rsidRPr="00A06825">
        <w:rPr>
          <w:rFonts w:ascii="Lato" w:hAnsi="Lato"/>
          <w:sz w:val="24"/>
          <w:szCs w:val="24"/>
          <w:lang w:eastAsia="en-GB"/>
        </w:rPr>
        <w:t xml:space="preserve">Subcontracts will include a list of specific costs for the services offered to each </w:t>
      </w:r>
      <w:r w:rsidRPr="00463325">
        <w:rPr>
          <w:rFonts w:ascii="Lato" w:hAnsi="Lato"/>
          <w:sz w:val="24"/>
          <w:szCs w:val="24"/>
          <w:lang w:eastAsia="en-GB"/>
        </w:rPr>
        <w:t>sub</w:t>
      </w:r>
      <w:r>
        <w:rPr>
          <w:rFonts w:ascii="Lato" w:hAnsi="Lato"/>
          <w:sz w:val="24"/>
          <w:szCs w:val="24"/>
          <w:lang w:eastAsia="en-GB"/>
        </w:rPr>
        <w:t>contracted partner organisation</w:t>
      </w:r>
      <w:r w:rsidRPr="00A06825">
        <w:rPr>
          <w:rFonts w:ascii="Lato" w:hAnsi="Lato"/>
          <w:sz w:val="24"/>
          <w:szCs w:val="24"/>
          <w:lang w:eastAsia="en-GB"/>
        </w:rPr>
        <w:t>, along with an explanation of how each cost is reasonabl</w:t>
      </w:r>
      <w:r>
        <w:rPr>
          <w:rFonts w:ascii="Lato" w:hAnsi="Lato"/>
          <w:sz w:val="24"/>
          <w:szCs w:val="24"/>
          <w:lang w:eastAsia="en-GB"/>
        </w:rPr>
        <w:t>e and proportionate to delivery</w:t>
      </w:r>
      <w:r w:rsidRPr="00A06825">
        <w:rPr>
          <w:rFonts w:ascii="Lato" w:hAnsi="Lato"/>
          <w:sz w:val="24"/>
          <w:szCs w:val="24"/>
          <w:lang w:eastAsia="en-GB"/>
        </w:rPr>
        <w:t xml:space="preserve">, and how each cost contributes to </w:t>
      </w:r>
      <w:r>
        <w:rPr>
          <w:rFonts w:ascii="Lato" w:hAnsi="Lato"/>
          <w:sz w:val="24"/>
          <w:szCs w:val="24"/>
          <w:lang w:eastAsia="en-GB"/>
        </w:rPr>
        <w:t>the delivery of</w:t>
      </w:r>
      <w:r w:rsidRPr="00A06825">
        <w:rPr>
          <w:rFonts w:ascii="Lato" w:hAnsi="Lato"/>
          <w:sz w:val="24"/>
          <w:szCs w:val="24"/>
          <w:lang w:eastAsia="en-GB"/>
        </w:rPr>
        <w:t xml:space="preserve"> high quality learning. </w:t>
      </w:r>
    </w:p>
    <w:p w:rsidR="00395675" w:rsidRDefault="00395675" w:rsidP="00395675">
      <w:pPr>
        <w:pStyle w:val="NoSpacing"/>
        <w:rPr>
          <w:rFonts w:ascii="Lato" w:hAnsi="Lato"/>
          <w:sz w:val="24"/>
          <w:szCs w:val="24"/>
          <w:lang w:eastAsia="en-GB"/>
        </w:rPr>
      </w:pPr>
    </w:p>
    <w:p w:rsidR="00395675" w:rsidRPr="00463325" w:rsidRDefault="00395675" w:rsidP="00395675">
      <w:pPr>
        <w:shd w:val="clear" w:color="auto" w:fill="FFFFFF"/>
        <w:spacing w:after="0" w:line="272" w:lineRule="atLeast"/>
        <w:outlineLvl w:val="3"/>
        <w:rPr>
          <w:rFonts w:ascii="Lato" w:eastAsia="Times New Roman" w:hAnsi="Lato" w:cs="Arial"/>
          <w:b/>
          <w:bCs/>
          <w:sz w:val="28"/>
          <w:szCs w:val="28"/>
          <w:lang w:eastAsia="en-GB"/>
        </w:rPr>
      </w:pPr>
      <w:r w:rsidRPr="00463325">
        <w:rPr>
          <w:rFonts w:ascii="Lato" w:eastAsia="Times New Roman" w:hAnsi="Lato" w:cs="Arial"/>
          <w:b/>
          <w:bCs/>
          <w:sz w:val="28"/>
          <w:szCs w:val="28"/>
          <w:lang w:eastAsia="en-GB"/>
        </w:rPr>
        <w:t>Improving the quality of teaching and learning</w:t>
      </w:r>
      <w:r>
        <w:rPr>
          <w:rFonts w:ascii="Lato" w:eastAsia="Times New Roman" w:hAnsi="Lato" w:cs="Arial"/>
          <w:b/>
          <w:bCs/>
          <w:sz w:val="28"/>
          <w:szCs w:val="28"/>
          <w:lang w:eastAsia="en-GB"/>
        </w:rPr>
        <w:t xml:space="preserve"> </w:t>
      </w:r>
    </w:p>
    <w:p w:rsidR="00395675" w:rsidRPr="00463325" w:rsidRDefault="00395675" w:rsidP="00395675">
      <w:pPr>
        <w:pStyle w:val="NoSpacing"/>
        <w:rPr>
          <w:rFonts w:ascii="Lato" w:hAnsi="Lato"/>
          <w:sz w:val="24"/>
          <w:szCs w:val="24"/>
          <w:lang w:eastAsia="en-GB"/>
        </w:rPr>
      </w:pPr>
      <w:r w:rsidRPr="00463325">
        <w:rPr>
          <w:rFonts w:ascii="Lato" w:hAnsi="Lato"/>
          <w:sz w:val="24"/>
          <w:szCs w:val="24"/>
          <w:lang w:eastAsia="en-GB"/>
        </w:rPr>
        <w:t>Subcontracted deliv</w:t>
      </w:r>
      <w:r>
        <w:rPr>
          <w:rFonts w:ascii="Lato" w:hAnsi="Lato"/>
          <w:sz w:val="24"/>
          <w:szCs w:val="24"/>
          <w:lang w:eastAsia="en-GB"/>
        </w:rPr>
        <w:t>ery partners will</w:t>
      </w:r>
      <w:r w:rsidRPr="00463325">
        <w:rPr>
          <w:rFonts w:ascii="Lato" w:hAnsi="Lato"/>
          <w:sz w:val="24"/>
          <w:szCs w:val="24"/>
          <w:lang w:eastAsia="en-GB"/>
        </w:rPr>
        <w:t xml:space="preserve"> participate in Groundwork UK</w:t>
      </w:r>
      <w:r>
        <w:rPr>
          <w:rFonts w:ascii="Lato" w:hAnsi="Lato"/>
          <w:sz w:val="24"/>
          <w:szCs w:val="24"/>
          <w:lang w:eastAsia="en-GB"/>
        </w:rPr>
        <w:t>’</w:t>
      </w:r>
      <w:r w:rsidRPr="00463325">
        <w:rPr>
          <w:rFonts w:ascii="Lato" w:hAnsi="Lato"/>
          <w:sz w:val="24"/>
          <w:szCs w:val="24"/>
          <w:lang w:eastAsia="en-GB"/>
        </w:rPr>
        <w:t>s quality assurance processes</w:t>
      </w:r>
      <w:r>
        <w:rPr>
          <w:rFonts w:ascii="Lato" w:hAnsi="Lato"/>
          <w:sz w:val="24"/>
          <w:szCs w:val="24"/>
          <w:lang w:eastAsia="en-GB"/>
        </w:rPr>
        <w:t>,</w:t>
      </w:r>
      <w:r w:rsidRPr="00463325">
        <w:rPr>
          <w:rFonts w:ascii="Lato" w:hAnsi="Lato"/>
          <w:sz w:val="24"/>
          <w:szCs w:val="24"/>
          <w:lang w:eastAsia="en-GB"/>
        </w:rPr>
        <w:t xml:space="preserve"> with Groundwork UK being committed to supporting, developing and sharing good practice </w:t>
      </w:r>
      <w:r>
        <w:rPr>
          <w:rFonts w:ascii="Lato" w:hAnsi="Lato"/>
          <w:sz w:val="24"/>
          <w:szCs w:val="24"/>
          <w:lang w:eastAsia="en-GB"/>
        </w:rPr>
        <w:t xml:space="preserve">in order to continuously improve the quality of teaching and learning, </w:t>
      </w:r>
      <w:r w:rsidRPr="00463325">
        <w:rPr>
          <w:rFonts w:ascii="Lato" w:hAnsi="Lato"/>
          <w:sz w:val="24"/>
          <w:szCs w:val="24"/>
          <w:lang w:eastAsia="en-GB"/>
        </w:rPr>
        <w:t xml:space="preserve">through: </w:t>
      </w:r>
    </w:p>
    <w:p w:rsidR="00395675" w:rsidRPr="00463325" w:rsidRDefault="00395675" w:rsidP="00395675">
      <w:pPr>
        <w:shd w:val="clear" w:color="auto" w:fill="FFFFFF"/>
        <w:spacing w:after="0" w:line="288" w:lineRule="atLeast"/>
        <w:rPr>
          <w:rFonts w:ascii="Lato" w:eastAsia="Times New Roman" w:hAnsi="Lato" w:cs="Arial"/>
          <w:color w:val="242424"/>
          <w:spacing w:val="5"/>
          <w:sz w:val="24"/>
          <w:szCs w:val="24"/>
          <w:lang w:eastAsia="en-GB"/>
        </w:rPr>
      </w:pPr>
    </w:p>
    <w:p w:rsidR="00395675" w:rsidRPr="00463325" w:rsidRDefault="00395675" w:rsidP="00395675">
      <w:pPr>
        <w:pStyle w:val="ListParagraph"/>
        <w:numPr>
          <w:ilvl w:val="0"/>
          <w:numId w:val="12"/>
        </w:numPr>
        <w:shd w:val="clear" w:color="auto" w:fill="FFFFFF"/>
        <w:spacing w:after="0" w:line="240" w:lineRule="auto"/>
        <w:contextualSpacing w:val="0"/>
        <w:rPr>
          <w:rFonts w:ascii="Lato" w:hAnsi="Lato"/>
          <w:bCs/>
          <w:sz w:val="24"/>
          <w:szCs w:val="24"/>
        </w:rPr>
      </w:pPr>
      <w:r w:rsidRPr="00463325">
        <w:rPr>
          <w:rFonts w:ascii="Lato" w:hAnsi="Lato"/>
          <w:bCs/>
          <w:sz w:val="24"/>
          <w:szCs w:val="24"/>
        </w:rPr>
        <w:t>open feedback mechanisms for participants to report their experiences</w:t>
      </w:r>
    </w:p>
    <w:p w:rsidR="00395675" w:rsidRPr="00463325" w:rsidRDefault="00395675" w:rsidP="00395675">
      <w:pPr>
        <w:pStyle w:val="ListParagraph"/>
        <w:numPr>
          <w:ilvl w:val="0"/>
          <w:numId w:val="12"/>
        </w:numPr>
        <w:shd w:val="clear" w:color="auto" w:fill="FFFFFF"/>
        <w:spacing w:after="0" w:line="240" w:lineRule="auto"/>
        <w:contextualSpacing w:val="0"/>
        <w:rPr>
          <w:rFonts w:ascii="Lato" w:hAnsi="Lato"/>
          <w:bCs/>
          <w:sz w:val="24"/>
          <w:szCs w:val="24"/>
        </w:rPr>
      </w:pPr>
      <w:r w:rsidRPr="00463325">
        <w:rPr>
          <w:rFonts w:ascii="Lato" w:hAnsi="Lato"/>
          <w:bCs/>
          <w:sz w:val="24"/>
          <w:szCs w:val="24"/>
        </w:rPr>
        <w:t>observations of practice by Groundwork UK, external consultants, or peers from other delivery partner organisations</w:t>
      </w:r>
    </w:p>
    <w:p w:rsidR="00395675" w:rsidRPr="00463325" w:rsidRDefault="00395675" w:rsidP="00395675">
      <w:pPr>
        <w:pStyle w:val="ListParagraph"/>
        <w:numPr>
          <w:ilvl w:val="0"/>
          <w:numId w:val="12"/>
        </w:numPr>
        <w:shd w:val="clear" w:color="auto" w:fill="FFFFFF"/>
        <w:spacing w:after="0" w:line="240" w:lineRule="auto"/>
        <w:contextualSpacing w:val="0"/>
        <w:rPr>
          <w:rFonts w:ascii="Lato" w:hAnsi="Lato"/>
          <w:bCs/>
          <w:sz w:val="24"/>
          <w:szCs w:val="24"/>
        </w:rPr>
      </w:pPr>
      <w:r w:rsidRPr="00463325">
        <w:rPr>
          <w:rFonts w:ascii="Lato" w:hAnsi="Lato"/>
          <w:bCs/>
          <w:sz w:val="24"/>
          <w:szCs w:val="24"/>
        </w:rPr>
        <w:t>self-assessment</w:t>
      </w:r>
      <w:r>
        <w:rPr>
          <w:rFonts w:ascii="Lato" w:hAnsi="Lato"/>
          <w:bCs/>
          <w:sz w:val="24"/>
          <w:szCs w:val="24"/>
        </w:rPr>
        <w:t xml:space="preserve"> processes and continual review</w:t>
      </w:r>
    </w:p>
    <w:p w:rsidR="00395675" w:rsidRDefault="00395675" w:rsidP="00395675">
      <w:pPr>
        <w:pStyle w:val="NoSpacing"/>
        <w:rPr>
          <w:rFonts w:ascii="Lato" w:hAnsi="Lato"/>
          <w:sz w:val="24"/>
          <w:szCs w:val="24"/>
          <w:lang w:eastAsia="en-GB"/>
        </w:rPr>
      </w:pPr>
    </w:p>
    <w:p w:rsidR="00395675" w:rsidRDefault="00395675" w:rsidP="00395675">
      <w:pPr>
        <w:pStyle w:val="NoSpacing"/>
        <w:rPr>
          <w:rFonts w:ascii="Lato" w:hAnsi="Lato"/>
          <w:sz w:val="24"/>
          <w:szCs w:val="24"/>
          <w:lang w:eastAsia="en-GB"/>
        </w:rPr>
      </w:pPr>
      <w:r w:rsidRPr="00463325">
        <w:rPr>
          <w:rFonts w:ascii="Lato" w:hAnsi="Lato"/>
          <w:sz w:val="24"/>
          <w:szCs w:val="24"/>
          <w:lang w:eastAsia="en-GB"/>
        </w:rPr>
        <w:t>The quality of provision by subcontracted partner organisations will be monitored and managed in line with Groundwork UK’s quality framework and associated self-assessments and improvement plans to ensure continuous improvement in all parts of the learner journey.</w:t>
      </w:r>
    </w:p>
    <w:p w:rsidR="00395675" w:rsidRPr="00110361" w:rsidRDefault="00395675" w:rsidP="00395675">
      <w:pPr>
        <w:pStyle w:val="NoSpacing"/>
        <w:rPr>
          <w:rFonts w:ascii="Lato" w:hAnsi="Lato"/>
          <w:sz w:val="24"/>
          <w:szCs w:val="24"/>
          <w:lang w:eastAsia="en-GB"/>
        </w:rPr>
      </w:pPr>
    </w:p>
    <w:p w:rsidR="00395675" w:rsidRPr="00463325" w:rsidRDefault="00395675" w:rsidP="00395675">
      <w:pPr>
        <w:spacing w:after="0" w:line="240" w:lineRule="auto"/>
        <w:rPr>
          <w:rFonts w:ascii="Lato" w:hAnsi="Lato" w:cs="Arial"/>
          <w:b/>
          <w:sz w:val="28"/>
          <w:szCs w:val="28"/>
        </w:rPr>
      </w:pPr>
      <w:r w:rsidRPr="00463325">
        <w:rPr>
          <w:rFonts w:ascii="Lato" w:hAnsi="Lato" w:cs="Arial"/>
          <w:b/>
          <w:sz w:val="28"/>
          <w:szCs w:val="28"/>
        </w:rPr>
        <w:t>Payment terms</w:t>
      </w:r>
      <w:r>
        <w:rPr>
          <w:rFonts w:ascii="Lato" w:hAnsi="Lato" w:cs="Arial"/>
          <w:b/>
          <w:sz w:val="28"/>
          <w:szCs w:val="28"/>
        </w:rPr>
        <w:t xml:space="preserve"> </w:t>
      </w:r>
    </w:p>
    <w:p w:rsidR="00395675" w:rsidRPr="00463325" w:rsidRDefault="00395675" w:rsidP="00395675">
      <w:pPr>
        <w:spacing w:after="0" w:line="240" w:lineRule="auto"/>
        <w:rPr>
          <w:rFonts w:ascii="Lato" w:hAnsi="Lato"/>
          <w:color w:val="000000"/>
          <w:sz w:val="24"/>
          <w:szCs w:val="24"/>
        </w:rPr>
      </w:pPr>
      <w:r w:rsidRPr="00463325">
        <w:rPr>
          <w:rFonts w:ascii="Lato" w:hAnsi="Lato"/>
          <w:sz w:val="24"/>
          <w:szCs w:val="24"/>
        </w:rPr>
        <w:t xml:space="preserve">Payment arrangements will be negotiated with </w:t>
      </w:r>
      <w:r w:rsidRPr="00463325">
        <w:rPr>
          <w:rFonts w:ascii="Lato" w:hAnsi="Lato"/>
          <w:sz w:val="24"/>
          <w:szCs w:val="24"/>
          <w:lang w:eastAsia="en-GB"/>
        </w:rPr>
        <w:t>subcontracted partner organisations</w:t>
      </w:r>
      <w:r w:rsidRPr="00463325">
        <w:rPr>
          <w:rFonts w:ascii="Lato" w:hAnsi="Lato"/>
          <w:sz w:val="24"/>
          <w:szCs w:val="24"/>
        </w:rPr>
        <w:t xml:space="preserve"> subject to the terms of the commissioning autho</w:t>
      </w:r>
      <w:r w:rsidRPr="006A35CF">
        <w:rPr>
          <w:rFonts w:ascii="Lato" w:hAnsi="Lato"/>
          <w:sz w:val="24"/>
          <w:szCs w:val="24"/>
        </w:rPr>
        <w:t xml:space="preserve">rity, the nature of the contract and the needs of the supply chain.  All payments will be made in arrears on the basis of approved and unpaid claims as they appear on Groundwork UK’s management information system on the final working day of each claim period. All valid claim applications received by the last working day of the period will be processed </w:t>
      </w:r>
      <w:r>
        <w:rPr>
          <w:rFonts w:ascii="Lato" w:hAnsi="Lato"/>
          <w:sz w:val="24"/>
          <w:szCs w:val="24"/>
        </w:rPr>
        <w:t xml:space="preserve">by Groundwork UK </w:t>
      </w:r>
      <w:r w:rsidRPr="006A35CF">
        <w:rPr>
          <w:rFonts w:ascii="Lato" w:hAnsi="Lato"/>
          <w:sz w:val="24"/>
          <w:szCs w:val="24"/>
        </w:rPr>
        <w:t>for the next</w:t>
      </w:r>
      <w:r>
        <w:rPr>
          <w:rFonts w:ascii="Lato" w:hAnsi="Lato"/>
          <w:sz w:val="24"/>
          <w:szCs w:val="24"/>
        </w:rPr>
        <w:t xml:space="preserve"> scheduled monthly</w:t>
      </w:r>
      <w:r w:rsidRPr="006A35CF">
        <w:rPr>
          <w:rFonts w:ascii="Lato" w:hAnsi="Lato"/>
          <w:sz w:val="24"/>
          <w:szCs w:val="24"/>
        </w:rPr>
        <w:t xml:space="preserve"> return</w:t>
      </w:r>
      <w:r>
        <w:rPr>
          <w:rFonts w:ascii="Lato" w:hAnsi="Lato"/>
          <w:sz w:val="24"/>
          <w:szCs w:val="24"/>
        </w:rPr>
        <w:t xml:space="preserve"> to the funder</w:t>
      </w:r>
      <w:r w:rsidRPr="006A35CF">
        <w:rPr>
          <w:rFonts w:ascii="Lato" w:hAnsi="Lato"/>
          <w:sz w:val="24"/>
          <w:szCs w:val="24"/>
        </w:rPr>
        <w:t xml:space="preserve">. Each </w:t>
      </w:r>
      <w:r w:rsidRPr="00463325">
        <w:rPr>
          <w:rFonts w:ascii="Lato" w:hAnsi="Lato"/>
          <w:sz w:val="24"/>
          <w:szCs w:val="24"/>
          <w:lang w:eastAsia="en-GB"/>
        </w:rPr>
        <w:t>sub</w:t>
      </w:r>
      <w:r>
        <w:rPr>
          <w:rFonts w:ascii="Lato" w:hAnsi="Lato"/>
          <w:sz w:val="24"/>
          <w:szCs w:val="24"/>
          <w:lang w:eastAsia="en-GB"/>
        </w:rPr>
        <w:t xml:space="preserve">contracted partner organisation </w:t>
      </w:r>
      <w:r w:rsidRPr="006A35CF">
        <w:rPr>
          <w:rFonts w:ascii="Lato" w:hAnsi="Lato"/>
          <w:sz w:val="24"/>
          <w:szCs w:val="24"/>
        </w:rPr>
        <w:t xml:space="preserve">will be sent a Statement of Claims that have </w:t>
      </w:r>
      <w:r w:rsidRPr="0077397B">
        <w:rPr>
          <w:rFonts w:ascii="Lato" w:hAnsi="Lato"/>
          <w:sz w:val="24"/>
          <w:szCs w:val="24"/>
        </w:rPr>
        <w:t xml:space="preserve">been approved </w:t>
      </w:r>
      <w:r w:rsidRPr="0077397B">
        <w:rPr>
          <w:rFonts w:ascii="Lato" w:hAnsi="Lato"/>
          <w:sz w:val="24"/>
          <w:szCs w:val="24"/>
        </w:rPr>
        <w:lastRenderedPageBreak/>
        <w:t>for payment by Groundwork UK</w:t>
      </w:r>
      <w:r>
        <w:rPr>
          <w:rFonts w:ascii="Lato" w:hAnsi="Lato"/>
          <w:sz w:val="24"/>
          <w:szCs w:val="24"/>
        </w:rPr>
        <w:t xml:space="preserve"> in line with agreed timescales in the Programme Requirements document and only after </w:t>
      </w:r>
      <w:r w:rsidRPr="0077397B">
        <w:rPr>
          <w:rFonts w:ascii="Lato" w:hAnsi="Lato"/>
          <w:sz w:val="24"/>
          <w:szCs w:val="24"/>
        </w:rPr>
        <w:t xml:space="preserve">Groundwork UK has received the funding from the Funding Agency. Payment of </w:t>
      </w:r>
      <w:r w:rsidRPr="00463325">
        <w:rPr>
          <w:rFonts w:ascii="Lato" w:hAnsi="Lato"/>
          <w:sz w:val="24"/>
          <w:szCs w:val="24"/>
          <w:lang w:eastAsia="en-GB"/>
        </w:rPr>
        <w:t>sub</w:t>
      </w:r>
      <w:r>
        <w:rPr>
          <w:rFonts w:ascii="Lato" w:hAnsi="Lato"/>
          <w:sz w:val="24"/>
          <w:szCs w:val="24"/>
          <w:lang w:eastAsia="en-GB"/>
        </w:rPr>
        <w:t xml:space="preserve">contracted partner organisation </w:t>
      </w:r>
      <w:r w:rsidRPr="0077397B">
        <w:rPr>
          <w:rFonts w:ascii="Lato" w:hAnsi="Lato"/>
          <w:sz w:val="24"/>
          <w:szCs w:val="24"/>
        </w:rPr>
        <w:t>invoices will</w:t>
      </w:r>
      <w:r>
        <w:rPr>
          <w:rFonts w:ascii="Lato" w:hAnsi="Lato"/>
          <w:sz w:val="24"/>
          <w:szCs w:val="24"/>
        </w:rPr>
        <w:t xml:space="preserve"> then</w:t>
      </w:r>
      <w:r w:rsidRPr="0077397B">
        <w:rPr>
          <w:rFonts w:ascii="Lato" w:hAnsi="Lato"/>
          <w:sz w:val="24"/>
          <w:szCs w:val="24"/>
        </w:rPr>
        <w:t xml:space="preserve"> be made within 30 days of Groundwork UK receiving a valid claim for payment.</w:t>
      </w:r>
    </w:p>
    <w:p w:rsidR="00395675" w:rsidRPr="00525989" w:rsidRDefault="00395675" w:rsidP="00395675">
      <w:pPr>
        <w:suppressAutoHyphens/>
        <w:spacing w:after="0" w:line="240" w:lineRule="auto"/>
        <w:rPr>
          <w:rFonts w:ascii="Lato Light" w:hAnsi="Lato Light" w:cs="Arial"/>
        </w:rPr>
      </w:pPr>
    </w:p>
    <w:p w:rsidR="00395675" w:rsidRPr="00463325" w:rsidRDefault="00395675" w:rsidP="00395675">
      <w:pPr>
        <w:spacing w:after="0" w:line="240" w:lineRule="auto"/>
        <w:rPr>
          <w:rFonts w:ascii="Lato" w:hAnsi="Lato" w:cs="Arial"/>
          <w:sz w:val="28"/>
          <w:szCs w:val="28"/>
        </w:rPr>
      </w:pPr>
      <w:r>
        <w:rPr>
          <w:rFonts w:ascii="Lato" w:hAnsi="Lato" w:cs="Arial"/>
          <w:b/>
          <w:sz w:val="28"/>
          <w:szCs w:val="28"/>
        </w:rPr>
        <w:t>P</w:t>
      </w:r>
      <w:r w:rsidRPr="00463325">
        <w:rPr>
          <w:rFonts w:ascii="Lato" w:hAnsi="Lato" w:cs="Arial"/>
          <w:b/>
          <w:sz w:val="28"/>
          <w:szCs w:val="28"/>
        </w:rPr>
        <w:t>olicy review</w:t>
      </w:r>
      <w:r>
        <w:rPr>
          <w:rFonts w:ascii="Lato" w:hAnsi="Lato" w:cs="Arial"/>
          <w:b/>
          <w:sz w:val="28"/>
          <w:szCs w:val="28"/>
        </w:rPr>
        <w:t xml:space="preserve"> and communication</w:t>
      </w:r>
      <w:r w:rsidRPr="00463325">
        <w:rPr>
          <w:rFonts w:ascii="Lato" w:hAnsi="Lato" w:cs="Arial"/>
          <w:b/>
          <w:sz w:val="28"/>
          <w:szCs w:val="28"/>
        </w:rPr>
        <w:t xml:space="preserve"> </w:t>
      </w:r>
    </w:p>
    <w:p w:rsidR="00395675" w:rsidRDefault="00395675" w:rsidP="00395675">
      <w:pPr>
        <w:pStyle w:val="NoSpacing"/>
        <w:rPr>
          <w:rFonts w:ascii="Lato" w:hAnsi="Lato"/>
          <w:sz w:val="24"/>
          <w:szCs w:val="24"/>
        </w:rPr>
      </w:pPr>
      <w:r w:rsidRPr="00463325">
        <w:rPr>
          <w:rFonts w:ascii="Lato" w:hAnsi="Lato"/>
          <w:sz w:val="24"/>
          <w:szCs w:val="24"/>
        </w:rPr>
        <w:t xml:space="preserve">This policy is given to all </w:t>
      </w:r>
      <w:r w:rsidRPr="00463325">
        <w:rPr>
          <w:rFonts w:ascii="Lato" w:hAnsi="Lato"/>
          <w:sz w:val="24"/>
          <w:szCs w:val="24"/>
          <w:lang w:eastAsia="en-GB"/>
        </w:rPr>
        <w:t>subcontracted partner organisations</w:t>
      </w:r>
      <w:r>
        <w:rPr>
          <w:rFonts w:ascii="Lato" w:hAnsi="Lato"/>
          <w:sz w:val="24"/>
          <w:szCs w:val="24"/>
        </w:rPr>
        <w:t xml:space="preserve"> as part of their contract. In supplying this policy alongside a breakdown of the services we will offer within the contract, we will ensure that the following are clearly communicated prior to an agreement being finalised:</w:t>
      </w:r>
    </w:p>
    <w:p w:rsidR="00395675" w:rsidRDefault="00395675" w:rsidP="00395675">
      <w:pPr>
        <w:pStyle w:val="NoSpacing"/>
        <w:rPr>
          <w:rFonts w:ascii="Lato" w:hAnsi="Lato"/>
          <w:sz w:val="24"/>
          <w:szCs w:val="24"/>
        </w:rPr>
      </w:pPr>
    </w:p>
    <w:p w:rsidR="00395675" w:rsidRDefault="00395675" w:rsidP="00395675">
      <w:pPr>
        <w:pStyle w:val="NoSpacing"/>
        <w:numPr>
          <w:ilvl w:val="0"/>
          <w:numId w:val="13"/>
        </w:numPr>
        <w:rPr>
          <w:rFonts w:ascii="Lato" w:hAnsi="Lato"/>
          <w:sz w:val="24"/>
          <w:szCs w:val="24"/>
        </w:rPr>
      </w:pPr>
      <w:r>
        <w:rPr>
          <w:rFonts w:ascii="Lato" w:hAnsi="Lato"/>
          <w:sz w:val="24"/>
          <w:szCs w:val="24"/>
        </w:rPr>
        <w:t xml:space="preserve">our reasoning for subcontracting, </w:t>
      </w:r>
    </w:p>
    <w:p w:rsidR="00395675" w:rsidRDefault="00395675" w:rsidP="00395675">
      <w:pPr>
        <w:pStyle w:val="NoSpacing"/>
        <w:numPr>
          <w:ilvl w:val="0"/>
          <w:numId w:val="13"/>
        </w:numPr>
        <w:rPr>
          <w:rFonts w:ascii="Lato" w:hAnsi="Lato"/>
          <w:sz w:val="24"/>
          <w:szCs w:val="24"/>
        </w:rPr>
      </w:pPr>
      <w:r>
        <w:rPr>
          <w:rFonts w:ascii="Lato" w:hAnsi="Lato"/>
          <w:sz w:val="24"/>
          <w:szCs w:val="24"/>
        </w:rPr>
        <w:t>the services we will provide</w:t>
      </w:r>
    </w:p>
    <w:p w:rsidR="00395675" w:rsidRDefault="00395675" w:rsidP="00395675">
      <w:pPr>
        <w:pStyle w:val="NoSpacing"/>
        <w:numPr>
          <w:ilvl w:val="0"/>
          <w:numId w:val="13"/>
        </w:numPr>
        <w:rPr>
          <w:rFonts w:ascii="Lato" w:hAnsi="Lato"/>
          <w:sz w:val="24"/>
          <w:szCs w:val="24"/>
        </w:rPr>
      </w:pPr>
      <w:r>
        <w:rPr>
          <w:rFonts w:ascii="Lato" w:hAnsi="Lato"/>
          <w:sz w:val="24"/>
          <w:szCs w:val="24"/>
        </w:rPr>
        <w:t>the cost of</w:t>
      </w:r>
      <w:r w:rsidRPr="00A90243">
        <w:rPr>
          <w:rFonts w:ascii="Lato" w:hAnsi="Lato"/>
          <w:sz w:val="24"/>
          <w:szCs w:val="24"/>
        </w:rPr>
        <w:t xml:space="preserve"> these services, </w:t>
      </w:r>
      <w:r>
        <w:rPr>
          <w:rFonts w:ascii="Lato" w:hAnsi="Lato"/>
          <w:sz w:val="24"/>
          <w:szCs w:val="24"/>
        </w:rPr>
        <w:t xml:space="preserve">and our justification (describing </w:t>
      </w:r>
      <w:r w:rsidRPr="00A90243">
        <w:rPr>
          <w:rFonts w:ascii="Lato" w:hAnsi="Lato"/>
          <w:sz w:val="24"/>
          <w:szCs w:val="24"/>
        </w:rPr>
        <w:t>how each cost is reasonable and proportionate to delivery</w:t>
      </w:r>
      <w:r>
        <w:rPr>
          <w:rFonts w:ascii="Lato" w:hAnsi="Lato"/>
          <w:sz w:val="24"/>
          <w:szCs w:val="24"/>
        </w:rPr>
        <w:t>)</w:t>
      </w:r>
    </w:p>
    <w:p w:rsidR="00395675" w:rsidRPr="00A90243" w:rsidRDefault="00395675" w:rsidP="00395675">
      <w:pPr>
        <w:pStyle w:val="NoSpacing"/>
        <w:numPr>
          <w:ilvl w:val="0"/>
          <w:numId w:val="13"/>
        </w:numPr>
        <w:rPr>
          <w:rFonts w:ascii="Lato" w:hAnsi="Lato"/>
          <w:sz w:val="24"/>
          <w:szCs w:val="24"/>
        </w:rPr>
      </w:pPr>
      <w:r>
        <w:rPr>
          <w:rFonts w:ascii="Lato" w:hAnsi="Lato"/>
          <w:sz w:val="24"/>
          <w:szCs w:val="24"/>
        </w:rPr>
        <w:t>how our costed services contribute to high quality learning</w:t>
      </w:r>
    </w:p>
    <w:p w:rsidR="00395675" w:rsidRDefault="00395675" w:rsidP="00395675">
      <w:pPr>
        <w:pStyle w:val="NoSpacing"/>
        <w:rPr>
          <w:rFonts w:ascii="Lato" w:hAnsi="Lato"/>
          <w:sz w:val="24"/>
          <w:szCs w:val="24"/>
        </w:rPr>
      </w:pPr>
    </w:p>
    <w:p w:rsidR="00395675" w:rsidRPr="006B6271" w:rsidRDefault="00395675" w:rsidP="00395675">
      <w:pPr>
        <w:pStyle w:val="NoSpacing"/>
        <w:rPr>
          <w:rFonts w:ascii="Lato" w:hAnsi="Lato"/>
          <w:color w:val="FF0000"/>
          <w:sz w:val="24"/>
          <w:szCs w:val="24"/>
        </w:rPr>
      </w:pPr>
      <w:r>
        <w:rPr>
          <w:rFonts w:ascii="Lato" w:hAnsi="Lato"/>
          <w:sz w:val="24"/>
          <w:szCs w:val="24"/>
        </w:rPr>
        <w:t>The policy</w:t>
      </w:r>
      <w:r w:rsidRPr="00463325">
        <w:rPr>
          <w:rFonts w:ascii="Lato" w:hAnsi="Lato"/>
          <w:sz w:val="24"/>
          <w:szCs w:val="24"/>
        </w:rPr>
        <w:t xml:space="preserve"> is </w:t>
      </w:r>
      <w:r>
        <w:rPr>
          <w:rFonts w:ascii="Lato" w:hAnsi="Lato"/>
          <w:sz w:val="24"/>
          <w:szCs w:val="24"/>
        </w:rPr>
        <w:t>published</w:t>
      </w:r>
      <w:r w:rsidRPr="00463325">
        <w:rPr>
          <w:rFonts w:ascii="Lato" w:hAnsi="Lato"/>
          <w:sz w:val="24"/>
          <w:szCs w:val="24"/>
        </w:rPr>
        <w:t xml:space="preserve"> on the Groundwork UK website</w:t>
      </w:r>
      <w:r>
        <w:rPr>
          <w:rFonts w:ascii="Lato" w:hAnsi="Lato"/>
          <w:sz w:val="24"/>
          <w:szCs w:val="24"/>
        </w:rPr>
        <w:t xml:space="preserve"> and</w:t>
      </w:r>
      <w:r w:rsidRPr="008E2250">
        <w:rPr>
          <w:rFonts w:ascii="Lato" w:hAnsi="Lato"/>
          <w:sz w:val="24"/>
          <w:szCs w:val="24"/>
        </w:rPr>
        <w:t xml:space="preserve"> is reviewed on an annual basis.</w:t>
      </w:r>
    </w:p>
    <w:p w:rsidR="00641933" w:rsidRPr="008E2250" w:rsidRDefault="00641933" w:rsidP="00641933">
      <w:pPr>
        <w:pStyle w:val="Default"/>
        <w:rPr>
          <w:rFonts w:ascii="Lato" w:eastAsia="Calibri" w:hAnsi="Lato" w:cs="Times New Roman"/>
          <w:color w:val="FF0000"/>
        </w:rPr>
      </w:pPr>
    </w:p>
    <w:p w:rsidR="00A90243" w:rsidRPr="006B6271" w:rsidRDefault="00A90243" w:rsidP="00A90243">
      <w:pPr>
        <w:pStyle w:val="NoSpacing"/>
        <w:rPr>
          <w:rFonts w:ascii="Lato" w:hAnsi="Lato"/>
          <w:color w:val="FF0000"/>
          <w:sz w:val="24"/>
          <w:szCs w:val="24"/>
        </w:rPr>
      </w:pPr>
    </w:p>
    <w:sectPr w:rsidR="00A90243" w:rsidRPr="006B6271" w:rsidSect="008029A7">
      <w:footerReference w:type="default" r:id="rId9"/>
      <w:pgSz w:w="11906" w:h="16838"/>
      <w:pgMar w:top="851" w:right="849" w:bottom="1440" w:left="851" w:header="708" w:footer="5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F5B" w:rsidRDefault="006C7F5B" w:rsidP="008029A7">
      <w:pPr>
        <w:spacing w:after="0" w:line="240" w:lineRule="auto"/>
      </w:pPr>
      <w:r>
        <w:separator/>
      </w:r>
    </w:p>
  </w:endnote>
  <w:endnote w:type="continuationSeparator" w:id="0">
    <w:p w:rsidR="006C7F5B" w:rsidRDefault="006C7F5B" w:rsidP="00802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2040503050201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Lato Black">
    <w:altName w:val="Calibri"/>
    <w:panose1 w:val="020F0A02020204030203"/>
    <w:charset w:val="00"/>
    <w:family w:val="swiss"/>
    <w:pitch w:val="variable"/>
    <w:sig w:usb0="A00000AF" w:usb1="5000604B" w:usb2="00000000" w:usb3="00000000" w:csb0="00000093" w:csb1="00000000"/>
  </w:font>
  <w:font w:name="Lato Light">
    <w:altName w:val="Calibri Light"/>
    <w:panose1 w:val="020F0302020204030203"/>
    <w:charset w:val="00"/>
    <w:family w:val="swiss"/>
    <w:pitch w:val="variable"/>
    <w:sig w:usb0="A00000AF" w:usb1="5000604B" w:usb2="00000000" w:usb3="00000000" w:csb0="00000093" w:csb1="00000000"/>
  </w:font>
  <w:font w:name="Lato">
    <w:altName w:val="Calibri"/>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5113"/>
    </w:tblGrid>
    <w:tr w:rsidR="000A2DBE" w:rsidTr="000A2DBE">
      <w:trPr>
        <w:trHeight w:val="137"/>
      </w:trPr>
      <w:tc>
        <w:tcPr>
          <w:tcW w:w="5211" w:type="dxa"/>
          <w:tcBorders>
            <w:bottom w:val="single" w:sz="8" w:space="0" w:color="BFBFBF" w:themeColor="background1" w:themeShade="BF"/>
          </w:tcBorders>
        </w:tcPr>
        <w:p w:rsidR="000A2DBE" w:rsidRDefault="000A2DBE" w:rsidP="000570D3">
          <w:pPr>
            <w:pStyle w:val="Footer"/>
            <w:rPr>
              <w:rFonts w:ascii="Lato Black" w:hAnsi="Lato Black"/>
              <w:sz w:val="28"/>
              <w:szCs w:val="28"/>
            </w:rPr>
          </w:pPr>
        </w:p>
      </w:tc>
      <w:tc>
        <w:tcPr>
          <w:tcW w:w="5211" w:type="dxa"/>
          <w:tcBorders>
            <w:bottom w:val="single" w:sz="8" w:space="0" w:color="BFBFBF" w:themeColor="background1" w:themeShade="BF"/>
          </w:tcBorders>
        </w:tcPr>
        <w:p w:rsidR="000A2DBE" w:rsidRDefault="000A2DBE" w:rsidP="000570D3">
          <w:pPr>
            <w:pStyle w:val="Footer"/>
            <w:rPr>
              <w:rFonts w:ascii="Lato Black" w:hAnsi="Lato Black"/>
              <w:sz w:val="28"/>
              <w:szCs w:val="28"/>
            </w:rPr>
          </w:pPr>
        </w:p>
      </w:tc>
    </w:tr>
    <w:tr w:rsidR="000A2DBE" w:rsidTr="000A2DBE">
      <w:trPr>
        <w:trHeight w:val="916"/>
      </w:trPr>
      <w:tc>
        <w:tcPr>
          <w:tcW w:w="5211" w:type="dxa"/>
          <w:tcBorders>
            <w:top w:val="single" w:sz="8" w:space="0" w:color="BFBFBF" w:themeColor="background1" w:themeShade="BF"/>
          </w:tcBorders>
          <w:vAlign w:val="center"/>
        </w:tcPr>
        <w:p w:rsidR="000A2DBE" w:rsidRPr="00B610FF" w:rsidRDefault="00110361" w:rsidP="0077397B">
          <w:pPr>
            <w:pStyle w:val="Footer"/>
            <w:rPr>
              <w:rFonts w:ascii="Lato" w:hAnsi="Lato"/>
              <w:color w:val="A6A6A6" w:themeColor="background1" w:themeShade="A6"/>
              <w:sz w:val="28"/>
              <w:szCs w:val="28"/>
            </w:rPr>
          </w:pPr>
          <w:r>
            <w:rPr>
              <w:rFonts w:ascii="Lato" w:hAnsi="Lato"/>
              <w:color w:val="A6A6A6" w:themeColor="background1" w:themeShade="A6"/>
              <w:sz w:val="28"/>
              <w:szCs w:val="28"/>
            </w:rPr>
            <w:t>Subcontractor Policy</w:t>
          </w:r>
        </w:p>
      </w:tc>
      <w:tc>
        <w:tcPr>
          <w:tcW w:w="5211" w:type="dxa"/>
          <w:tcBorders>
            <w:top w:val="single" w:sz="8" w:space="0" w:color="BFBFBF" w:themeColor="background1" w:themeShade="BF"/>
          </w:tcBorders>
          <w:vAlign w:val="center"/>
        </w:tcPr>
        <w:p w:rsidR="000A2DBE" w:rsidRPr="000A2DBE" w:rsidRDefault="000A2DBE" w:rsidP="000A2DBE">
          <w:pPr>
            <w:pStyle w:val="Footer"/>
            <w:jc w:val="right"/>
            <w:rPr>
              <w:rFonts w:ascii="Lato Black" w:hAnsi="Lato Black"/>
              <w:color w:val="A6A6A6" w:themeColor="background1" w:themeShade="A6"/>
              <w:sz w:val="30"/>
              <w:szCs w:val="30"/>
            </w:rPr>
          </w:pPr>
          <w:r w:rsidRPr="000A2DBE">
            <w:rPr>
              <w:rFonts w:ascii="Lato Black" w:hAnsi="Lato Black"/>
              <w:color w:val="A6A6A6" w:themeColor="background1" w:themeShade="A6"/>
              <w:sz w:val="30"/>
              <w:szCs w:val="30"/>
            </w:rPr>
            <w:t>GROUNDWORK</w:t>
          </w:r>
        </w:p>
        <w:p w:rsidR="000A2DBE" w:rsidRPr="00B610FF" w:rsidRDefault="000A2DBE" w:rsidP="000A2DBE">
          <w:pPr>
            <w:pStyle w:val="Footer"/>
            <w:jc w:val="right"/>
            <w:rPr>
              <w:rFonts w:ascii="Lato Black" w:hAnsi="Lato Black"/>
              <w:color w:val="A6A6A6" w:themeColor="background1" w:themeShade="A6"/>
              <w:sz w:val="28"/>
              <w:szCs w:val="28"/>
            </w:rPr>
          </w:pPr>
          <w:r w:rsidRPr="00B610FF">
            <w:rPr>
              <w:rFonts w:ascii="Lato" w:hAnsi="Lato"/>
              <w:color w:val="A6A6A6" w:themeColor="background1" w:themeShade="A6"/>
            </w:rPr>
            <w:t xml:space="preserve">CHANGING </w:t>
          </w:r>
          <w:r w:rsidRPr="00B610FF">
            <w:rPr>
              <w:rFonts w:ascii="Lato Black" w:hAnsi="Lato Black"/>
              <w:color w:val="A6A6A6" w:themeColor="background1" w:themeShade="A6"/>
            </w:rPr>
            <w:t>PLACES</w:t>
          </w:r>
          <w:r w:rsidRPr="00B610FF">
            <w:rPr>
              <w:rFonts w:ascii="Lato" w:hAnsi="Lato"/>
              <w:color w:val="A6A6A6" w:themeColor="background1" w:themeShade="A6"/>
            </w:rPr>
            <w:t xml:space="preserve"> CHANGING </w:t>
          </w:r>
          <w:r w:rsidRPr="00B610FF">
            <w:rPr>
              <w:rFonts w:ascii="Lato Black" w:hAnsi="Lato Black"/>
              <w:color w:val="A6A6A6" w:themeColor="background1" w:themeShade="A6"/>
            </w:rPr>
            <w:t>LIVES</w:t>
          </w:r>
        </w:p>
      </w:tc>
    </w:tr>
  </w:tbl>
  <w:p w:rsidR="000A2DBE" w:rsidRPr="00395675" w:rsidRDefault="00F54C5A" w:rsidP="00F44AA2">
    <w:pPr>
      <w:pStyle w:val="Footer"/>
      <w:rPr>
        <w:rFonts w:ascii="Lato Black" w:hAnsi="Lato Black"/>
        <w:sz w:val="20"/>
        <w:szCs w:val="20"/>
      </w:rPr>
    </w:pPr>
    <w:r>
      <w:rPr>
        <w:rFonts w:ascii="Lato Black" w:hAnsi="Lato Black"/>
        <w:sz w:val="28"/>
        <w:szCs w:val="28"/>
      </w:rPr>
      <w:t xml:space="preserve">                                                                             </w:t>
    </w:r>
    <w:r w:rsidRPr="00395675">
      <w:rPr>
        <w:rFonts w:ascii="Lato Black" w:hAnsi="Lato Black"/>
        <w:color w:val="808080" w:themeColor="background1" w:themeShade="80"/>
        <w:spacing w:val="60"/>
        <w:sz w:val="20"/>
        <w:szCs w:val="20"/>
      </w:rPr>
      <w:t>Page</w:t>
    </w:r>
    <w:r w:rsidRPr="00395675">
      <w:rPr>
        <w:rFonts w:ascii="Lato Black" w:hAnsi="Lato Black"/>
        <w:sz w:val="20"/>
        <w:szCs w:val="20"/>
      </w:rPr>
      <w:t xml:space="preserve"> | </w:t>
    </w:r>
    <w:r w:rsidRPr="00395675">
      <w:rPr>
        <w:rFonts w:ascii="Lato Black" w:hAnsi="Lato Black"/>
        <w:sz w:val="20"/>
        <w:szCs w:val="20"/>
      </w:rPr>
      <w:fldChar w:fldCharType="begin"/>
    </w:r>
    <w:r w:rsidRPr="00395675">
      <w:rPr>
        <w:rFonts w:ascii="Lato Black" w:hAnsi="Lato Black"/>
        <w:sz w:val="20"/>
        <w:szCs w:val="20"/>
      </w:rPr>
      <w:instrText xml:space="preserve"> PAGE   \* MERGEFORMAT </w:instrText>
    </w:r>
    <w:r w:rsidRPr="00395675">
      <w:rPr>
        <w:rFonts w:ascii="Lato Black" w:hAnsi="Lato Black"/>
        <w:sz w:val="20"/>
        <w:szCs w:val="20"/>
      </w:rPr>
      <w:fldChar w:fldCharType="separate"/>
    </w:r>
    <w:r w:rsidR="00883832" w:rsidRPr="00883832">
      <w:rPr>
        <w:rFonts w:ascii="Lato Black" w:hAnsi="Lato Black"/>
        <w:b/>
        <w:bCs/>
        <w:noProof/>
        <w:sz w:val="20"/>
        <w:szCs w:val="20"/>
      </w:rPr>
      <w:t>1</w:t>
    </w:r>
    <w:r w:rsidRPr="00395675">
      <w:rPr>
        <w:rFonts w:ascii="Lato Black" w:hAnsi="Lato Black"/>
        <w:b/>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F5B" w:rsidRDefault="006C7F5B" w:rsidP="008029A7">
      <w:pPr>
        <w:spacing w:after="0" w:line="240" w:lineRule="auto"/>
      </w:pPr>
      <w:r>
        <w:separator/>
      </w:r>
    </w:p>
  </w:footnote>
  <w:footnote w:type="continuationSeparator" w:id="0">
    <w:p w:rsidR="006C7F5B" w:rsidRDefault="006C7F5B" w:rsidP="008029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Arrows-Icon-Bulletpoint-Groundwork"/>
      </v:shape>
    </w:pict>
  </w:numPicBullet>
  <w:numPicBullet w:numPicBulletId="1">
    <w:pict>
      <v:shape id="_x0000_i1027" type="#_x0000_t75" style="width:5in;height:471pt" o:bullet="t">
        <v:imagedata r:id="rId2" o:title="Single Arrow black"/>
      </v:shape>
    </w:pict>
  </w:numPicBullet>
  <w:abstractNum w:abstractNumId="0" w15:restartNumberingAfterBreak="0">
    <w:nsid w:val="0C275A35"/>
    <w:multiLevelType w:val="hybridMultilevel"/>
    <w:tmpl w:val="C49E6F3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F0D29E2"/>
    <w:multiLevelType w:val="hybridMultilevel"/>
    <w:tmpl w:val="D9BA7468"/>
    <w:lvl w:ilvl="0" w:tplc="08090001">
      <w:start w:val="1"/>
      <w:numFmt w:val="bullet"/>
      <w:lvlText w:val=""/>
      <w:lvlPicBulletId w:val="1"/>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A068DA"/>
    <w:multiLevelType w:val="hybridMultilevel"/>
    <w:tmpl w:val="EDB60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BF0348"/>
    <w:multiLevelType w:val="hybridMultilevel"/>
    <w:tmpl w:val="31FAA4F2"/>
    <w:lvl w:ilvl="0" w:tplc="08090001">
      <w:start w:val="1"/>
      <w:numFmt w:val="bullet"/>
      <w:lvlText w:val=""/>
      <w:lvlPicBulletId w:val="1"/>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D85A9B"/>
    <w:multiLevelType w:val="hybridMultilevel"/>
    <w:tmpl w:val="73167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957CE9"/>
    <w:multiLevelType w:val="hybridMultilevel"/>
    <w:tmpl w:val="81529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976C48"/>
    <w:multiLevelType w:val="hybridMultilevel"/>
    <w:tmpl w:val="86B44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5C4E6D"/>
    <w:multiLevelType w:val="hybridMultilevel"/>
    <w:tmpl w:val="F41EAE28"/>
    <w:lvl w:ilvl="0" w:tplc="20E2F960">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3EA1790"/>
    <w:multiLevelType w:val="hybridMultilevel"/>
    <w:tmpl w:val="8E9A1E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78A452C"/>
    <w:multiLevelType w:val="hybridMultilevel"/>
    <w:tmpl w:val="D67E5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81E5D56"/>
    <w:multiLevelType w:val="hybridMultilevel"/>
    <w:tmpl w:val="C69E4C0A"/>
    <w:lvl w:ilvl="0" w:tplc="08090001">
      <w:start w:val="1"/>
      <w:numFmt w:val="bullet"/>
      <w:lvlText w:val=""/>
      <w:lvlPicBulletId w:val="1"/>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8B3345C"/>
    <w:multiLevelType w:val="hybridMultilevel"/>
    <w:tmpl w:val="C192A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2764AA"/>
    <w:multiLevelType w:val="hybridMultilevel"/>
    <w:tmpl w:val="55EC90FC"/>
    <w:lvl w:ilvl="0" w:tplc="2B68A632">
      <w:start w:val="1"/>
      <w:numFmt w:val="bullet"/>
      <w:lvlText w:val=""/>
      <w:lvlPicBulletId w:val="1"/>
      <w:lvlJc w:val="left"/>
      <w:pPr>
        <w:ind w:left="1440" w:hanging="360"/>
      </w:pPr>
      <w:rPr>
        <w:rFonts w:ascii="Symbol" w:hAnsi="Symbol"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7"/>
  </w:num>
  <w:num w:numId="2">
    <w:abstractNumId w:val="9"/>
  </w:num>
  <w:num w:numId="3">
    <w:abstractNumId w:val="1"/>
  </w:num>
  <w:num w:numId="4">
    <w:abstractNumId w:val="0"/>
  </w:num>
  <w:num w:numId="5">
    <w:abstractNumId w:val="12"/>
  </w:num>
  <w:num w:numId="6">
    <w:abstractNumId w:val="2"/>
  </w:num>
  <w:num w:numId="7">
    <w:abstractNumId w:val="10"/>
  </w:num>
  <w:num w:numId="8">
    <w:abstractNumId w:val="3"/>
  </w:num>
  <w:num w:numId="9">
    <w:abstractNumId w:val="5"/>
  </w:num>
  <w:num w:numId="10">
    <w:abstractNumId w:val="11"/>
  </w:num>
  <w:num w:numId="11">
    <w:abstractNumId w:val="8"/>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736"/>
    <w:rsid w:val="00016E00"/>
    <w:rsid w:val="000332A1"/>
    <w:rsid w:val="000358E3"/>
    <w:rsid w:val="000A2DBE"/>
    <w:rsid w:val="00110361"/>
    <w:rsid w:val="00191A5A"/>
    <w:rsid w:val="001D56DD"/>
    <w:rsid w:val="003041BE"/>
    <w:rsid w:val="00395675"/>
    <w:rsid w:val="00411E50"/>
    <w:rsid w:val="00463325"/>
    <w:rsid w:val="00515F17"/>
    <w:rsid w:val="00555D3B"/>
    <w:rsid w:val="00565B74"/>
    <w:rsid w:val="00641933"/>
    <w:rsid w:val="006A35CF"/>
    <w:rsid w:val="006B6271"/>
    <w:rsid w:val="006C7F5B"/>
    <w:rsid w:val="0077397B"/>
    <w:rsid w:val="007E27CE"/>
    <w:rsid w:val="008029A7"/>
    <w:rsid w:val="00805BF2"/>
    <w:rsid w:val="00883832"/>
    <w:rsid w:val="008A7778"/>
    <w:rsid w:val="008E2250"/>
    <w:rsid w:val="00911FD5"/>
    <w:rsid w:val="00946557"/>
    <w:rsid w:val="009F052F"/>
    <w:rsid w:val="009F4736"/>
    <w:rsid w:val="00A06825"/>
    <w:rsid w:val="00A726A5"/>
    <w:rsid w:val="00A90243"/>
    <w:rsid w:val="00A958B5"/>
    <w:rsid w:val="00B8414A"/>
    <w:rsid w:val="00C0198E"/>
    <w:rsid w:val="00EA243E"/>
    <w:rsid w:val="00F44AA2"/>
    <w:rsid w:val="00F54C5A"/>
    <w:rsid w:val="00F6164F"/>
    <w:rsid w:val="00FB5D17"/>
    <w:rsid w:val="00FC2F0D"/>
    <w:rsid w:val="00FE71EE"/>
    <w:rsid w:val="00FE7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1A44247E-EAB6-4525-9E66-8229EF8FB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7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7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1EE"/>
    <w:rPr>
      <w:rFonts w:ascii="Tahoma" w:hAnsi="Tahoma" w:cs="Tahoma"/>
      <w:sz w:val="16"/>
      <w:szCs w:val="16"/>
    </w:rPr>
  </w:style>
  <w:style w:type="paragraph" w:customStyle="1" w:styleId="BasicParagraph">
    <w:name w:val="[Basic Paragraph]"/>
    <w:basedOn w:val="Normal"/>
    <w:uiPriority w:val="99"/>
    <w:rsid w:val="008A7778"/>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ListParagraph">
    <w:name w:val="List Paragraph"/>
    <w:basedOn w:val="Normal"/>
    <w:uiPriority w:val="99"/>
    <w:qFormat/>
    <w:rsid w:val="008A7778"/>
    <w:pPr>
      <w:ind w:left="720"/>
      <w:contextualSpacing/>
    </w:pPr>
  </w:style>
  <w:style w:type="paragraph" w:styleId="Header">
    <w:name w:val="header"/>
    <w:basedOn w:val="Normal"/>
    <w:link w:val="HeaderChar"/>
    <w:uiPriority w:val="99"/>
    <w:unhideWhenUsed/>
    <w:rsid w:val="008029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9A7"/>
  </w:style>
  <w:style w:type="paragraph" w:styleId="Footer">
    <w:name w:val="footer"/>
    <w:basedOn w:val="Normal"/>
    <w:link w:val="FooterChar"/>
    <w:uiPriority w:val="99"/>
    <w:unhideWhenUsed/>
    <w:rsid w:val="008029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9A7"/>
  </w:style>
  <w:style w:type="paragraph" w:styleId="NoSpacing">
    <w:name w:val="No Spacing"/>
    <w:uiPriority w:val="1"/>
    <w:qFormat/>
    <w:rsid w:val="009F4736"/>
    <w:pPr>
      <w:spacing w:after="0" w:line="240" w:lineRule="auto"/>
    </w:pPr>
    <w:rPr>
      <w:rFonts w:ascii="Arial" w:eastAsia="Calibri" w:hAnsi="Arial" w:cs="Times New Roman"/>
    </w:rPr>
  </w:style>
  <w:style w:type="paragraph" w:customStyle="1" w:styleId="Default">
    <w:name w:val="Default"/>
    <w:rsid w:val="0064193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Groundwork North East</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Wells</dc:creator>
  <cp:lastModifiedBy>Stacey Aplin</cp:lastModifiedBy>
  <cp:revision>2</cp:revision>
  <cp:lastPrinted>2019-08-06T08:03:00Z</cp:lastPrinted>
  <dcterms:created xsi:type="dcterms:W3CDTF">2019-08-21T13:03:00Z</dcterms:created>
  <dcterms:modified xsi:type="dcterms:W3CDTF">2019-08-21T13:03:00Z</dcterms:modified>
</cp:coreProperties>
</file>