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D503" w14:textId="77777777" w:rsidR="007160C1" w:rsidRPr="00B61204" w:rsidRDefault="00A77136" w:rsidP="00A77136">
      <w:pPr>
        <w:jc w:val="center"/>
        <w:rPr>
          <w:b/>
          <w:smallCaps/>
          <w:sz w:val="32"/>
          <w:szCs w:val="32"/>
        </w:rPr>
      </w:pPr>
      <w:r w:rsidRPr="00B61204">
        <w:rPr>
          <w:b/>
          <w:smallCaps/>
          <w:sz w:val="32"/>
          <w:szCs w:val="32"/>
        </w:rPr>
        <w:t>ESFA Community Training Grants – Prospectus</w:t>
      </w:r>
    </w:p>
    <w:p w14:paraId="69877FC5" w14:textId="77777777" w:rsidR="00A77136" w:rsidRPr="00B61204" w:rsidRDefault="00A77136" w:rsidP="00A77136">
      <w:pPr>
        <w:jc w:val="center"/>
        <w:rPr>
          <w:b/>
          <w:smallCaps/>
          <w:sz w:val="32"/>
          <w:szCs w:val="32"/>
        </w:rPr>
      </w:pPr>
      <w:r w:rsidRPr="00B61204">
        <w:rPr>
          <w:b/>
          <w:smallCaps/>
          <w:sz w:val="32"/>
          <w:szCs w:val="32"/>
        </w:rPr>
        <w:t>Groundwork London</w:t>
      </w:r>
    </w:p>
    <w:p w14:paraId="0E3DA4CE" w14:textId="77777777" w:rsidR="00A77136" w:rsidRDefault="00A77136" w:rsidP="00A77136">
      <w:pPr>
        <w:jc w:val="both"/>
      </w:pPr>
      <w:r>
        <w:t xml:space="preserve">Groundwork London is delivering Community Training Grants, which is funded by the European Social Fund (ESF) and the Education and Skills funding Agency (ESFA). The Community Training Grants aim to benefit those who are furthest away from the labour market, and start participants’ progress back to employment. In addition to formal skills training this can also be activities which have softer benefits, such as work readiness, confidence or manger management. </w:t>
      </w:r>
    </w:p>
    <w:p w14:paraId="6DE81D18" w14:textId="77777777" w:rsidR="00A77136" w:rsidRDefault="00A77136" w:rsidP="00A77136">
      <w:pPr>
        <w:jc w:val="both"/>
      </w:pPr>
      <w:r>
        <w:rPr>
          <w:b/>
        </w:rPr>
        <w:t>Who can apply?</w:t>
      </w:r>
    </w:p>
    <w:p w14:paraId="7CB10CA3" w14:textId="77777777" w:rsidR="00FC0B41" w:rsidRPr="008A48CF" w:rsidRDefault="00FC0B41" w:rsidP="00A77136">
      <w:pPr>
        <w:jc w:val="both"/>
        <w:rPr>
          <w:b/>
          <w:i/>
        </w:rPr>
      </w:pPr>
      <w:r w:rsidRPr="008A48CF">
        <w:rPr>
          <w:b/>
          <w:i/>
        </w:rPr>
        <w:t>Location</w:t>
      </w:r>
    </w:p>
    <w:p w14:paraId="2F3ED136" w14:textId="77777777" w:rsidR="00A77136" w:rsidRDefault="00A77136" w:rsidP="00A77136">
      <w:pPr>
        <w:jc w:val="both"/>
      </w:pPr>
      <w:r>
        <w:t xml:space="preserve">Groundwork London is administering the grants in four Local Enterprise Partnership (LEP) areas across London and South of England. </w:t>
      </w:r>
      <w:r w:rsidRPr="00A77136">
        <w:t>LEPs are voluntary partnerships between local authorities and businesses, set up to help determine local economic priorities and lead economic growth and job creation within the local area</w:t>
      </w:r>
      <w:r>
        <w:t>. Organisations must deliver in one of the LEP areas which Groundwork London is administering Community Training Grants</w:t>
      </w:r>
      <w:r w:rsidR="00FC0B41">
        <w:t>, which are as follows (including the local authorities within those LEP areas):</w:t>
      </w:r>
    </w:p>
    <w:p w14:paraId="17ECD22C" w14:textId="77777777" w:rsidR="00FC0B41" w:rsidRPr="00FC0B41" w:rsidRDefault="00FC0B41" w:rsidP="00FC0B41">
      <w:pPr>
        <w:numPr>
          <w:ilvl w:val="0"/>
          <w:numId w:val="1"/>
        </w:numPr>
        <w:shd w:val="clear" w:color="auto" w:fill="FFFFFF"/>
        <w:spacing w:before="100" w:beforeAutospacing="1" w:after="100" w:afterAutospacing="1" w:line="240" w:lineRule="auto"/>
        <w:ind w:left="0"/>
      </w:pPr>
      <w:r w:rsidRPr="00FC0B41">
        <w:rPr>
          <w:b/>
        </w:rPr>
        <w:t>Swindon and Wiltshire LEP</w:t>
      </w:r>
      <w:r>
        <w:t>: Swindon, Wiltshire.</w:t>
      </w:r>
    </w:p>
    <w:p w14:paraId="73479562" w14:textId="77777777" w:rsidR="00FC0B41" w:rsidRDefault="00FC0B41" w:rsidP="00FE1CA3">
      <w:pPr>
        <w:numPr>
          <w:ilvl w:val="0"/>
          <w:numId w:val="1"/>
        </w:numPr>
        <w:shd w:val="clear" w:color="auto" w:fill="FFFFFF"/>
        <w:spacing w:before="100" w:beforeAutospacing="1" w:after="100" w:afterAutospacing="1" w:line="240" w:lineRule="auto"/>
        <w:ind w:left="0"/>
      </w:pPr>
      <w:r w:rsidRPr="00FC0B41">
        <w:rPr>
          <w:b/>
        </w:rPr>
        <w:t>Thames Valley Berkshire LEP</w:t>
      </w:r>
      <w:r w:rsidRPr="00FC0B41">
        <w:t>: West Berkshire, Reading, Bracknell, Wokingham,</w:t>
      </w:r>
      <w:r>
        <w:t xml:space="preserve"> Slough, Windsor and Maidenhead</w:t>
      </w:r>
    </w:p>
    <w:p w14:paraId="1C3AC1AC" w14:textId="10B2C92A" w:rsidR="00FC0B41" w:rsidRPr="00FC0B41" w:rsidRDefault="00FC0B41" w:rsidP="00FE1CA3">
      <w:pPr>
        <w:numPr>
          <w:ilvl w:val="0"/>
          <w:numId w:val="1"/>
        </w:numPr>
        <w:shd w:val="clear" w:color="auto" w:fill="FFFFFF"/>
        <w:spacing w:before="100" w:beforeAutospacing="1" w:after="100" w:afterAutospacing="1" w:line="240" w:lineRule="auto"/>
        <w:ind w:left="0"/>
      </w:pPr>
      <w:r w:rsidRPr="00FC0B41">
        <w:rPr>
          <w:b/>
        </w:rPr>
        <w:t>Dorset LEP</w:t>
      </w:r>
      <w:r w:rsidRPr="00FC0B41">
        <w:t>: Dorset, Bour</w:t>
      </w:r>
      <w:r w:rsidR="0088051C">
        <w:t>nemouth, Poole and Christchurch</w:t>
      </w:r>
    </w:p>
    <w:p w14:paraId="15249AB6" w14:textId="77777777" w:rsidR="00FC0B41" w:rsidRDefault="00FC0B41" w:rsidP="00FC0B41">
      <w:pPr>
        <w:numPr>
          <w:ilvl w:val="0"/>
          <w:numId w:val="1"/>
        </w:numPr>
        <w:shd w:val="clear" w:color="auto" w:fill="FFFFFF"/>
        <w:spacing w:before="100" w:beforeAutospacing="1" w:after="100" w:afterAutospacing="1" w:line="240" w:lineRule="auto"/>
        <w:ind w:left="0"/>
      </w:pPr>
      <w:r w:rsidRPr="00FC0B41">
        <w:rPr>
          <w:b/>
        </w:rPr>
        <w:t>London North and East LEP</w:t>
      </w:r>
      <w:r w:rsidRPr="00FC0B41">
        <w:t>: Barking &amp; Dagenham, Bexley, Bromley, Enfield, Greenwich, Havering, Newham, Redbridge, Waltham Forest</w:t>
      </w:r>
    </w:p>
    <w:p w14:paraId="384FE693" w14:textId="77777777" w:rsidR="00FC0B41" w:rsidRPr="008A48CF" w:rsidRDefault="00FC0B41" w:rsidP="00FC0B41">
      <w:pPr>
        <w:shd w:val="clear" w:color="auto" w:fill="FFFFFF"/>
        <w:spacing w:before="100" w:beforeAutospacing="1" w:after="100" w:afterAutospacing="1" w:line="240" w:lineRule="auto"/>
        <w:rPr>
          <w:b/>
          <w:i/>
        </w:rPr>
      </w:pPr>
      <w:r w:rsidRPr="008A48CF">
        <w:rPr>
          <w:b/>
          <w:i/>
        </w:rPr>
        <w:t>Type of organisation</w:t>
      </w:r>
    </w:p>
    <w:p w14:paraId="6C4D608E" w14:textId="77777777" w:rsidR="00FC0B41" w:rsidRDefault="00FC0B41" w:rsidP="00FC0B41">
      <w:pPr>
        <w:shd w:val="clear" w:color="auto" w:fill="FFFFFF"/>
        <w:spacing w:before="100" w:beforeAutospacing="1" w:after="100" w:afterAutospacing="1" w:line="240" w:lineRule="auto"/>
      </w:pPr>
      <w:r>
        <w:t>The Community Training Grants aim to support those organisations whose delivery is not of the size to apply directly for ESF funding. It aims to provide support to those smaller organisations that are grassroots and closest to those who face barriers to employment and training. Groundwork</w:t>
      </w:r>
      <w:r w:rsidR="00897E42">
        <w:t xml:space="preserve"> London</w:t>
      </w:r>
      <w:r>
        <w:t xml:space="preserve"> as administrator will also work with those applicant organisations to help build their capacity at delivering</w:t>
      </w:r>
      <w:r w:rsidR="0015101B">
        <w:t>. Third Sector Organisations (Charities, Community Interest Companies, Charitable Incorporate Organisations, Social Enterprises, Community Groups etc.) or Small Organisations (49 or less employees and a turnover of less than 10 million Euros) are eligible to apply, as long as they have a bank account.</w:t>
      </w:r>
    </w:p>
    <w:p w14:paraId="6F7E088A" w14:textId="77777777" w:rsidR="0015101B" w:rsidRPr="008A48CF" w:rsidRDefault="0015101B" w:rsidP="00B61204">
      <w:pPr>
        <w:keepNext/>
        <w:shd w:val="clear" w:color="auto" w:fill="FFFFFF"/>
        <w:spacing w:before="100" w:beforeAutospacing="1" w:after="100" w:afterAutospacing="1" w:line="240" w:lineRule="auto"/>
        <w:rPr>
          <w:b/>
          <w:i/>
        </w:rPr>
      </w:pPr>
      <w:r w:rsidRPr="008A48CF">
        <w:rPr>
          <w:b/>
          <w:i/>
        </w:rPr>
        <w:lastRenderedPageBreak/>
        <w:t>Type of participant</w:t>
      </w:r>
    </w:p>
    <w:p w14:paraId="511A9822" w14:textId="77777777" w:rsidR="0015101B" w:rsidRDefault="0015101B" w:rsidP="003608E9">
      <w:pPr>
        <w:keepNext/>
        <w:shd w:val="clear" w:color="auto" w:fill="FFFFFF"/>
        <w:spacing w:before="100" w:beforeAutospacing="1" w:after="100" w:afterAutospacing="1" w:line="240" w:lineRule="auto"/>
        <w:jc w:val="both"/>
      </w:pPr>
      <w:r>
        <w:t>Proposed projects must work with people who are unemployed or economically inactive, over 16 and eligible to work in the United Kingdom. The ESFA has also highlighted four priority groups that it wishes to engage with:</w:t>
      </w:r>
    </w:p>
    <w:p w14:paraId="044B2FE4"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over 50 years of age;</w:t>
      </w:r>
    </w:p>
    <w:p w14:paraId="5378E1A5"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with disabilities;</w:t>
      </w:r>
    </w:p>
    <w:p w14:paraId="5F754A09"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from Ethnic Minorities; and</w:t>
      </w:r>
    </w:p>
    <w:p w14:paraId="31A625F8"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who are women.</w:t>
      </w:r>
    </w:p>
    <w:p w14:paraId="4E0B67BF" w14:textId="77777777" w:rsidR="0015101B" w:rsidRDefault="0015101B" w:rsidP="0015101B">
      <w:pPr>
        <w:shd w:val="clear" w:color="auto" w:fill="FFFFFF"/>
        <w:spacing w:before="100" w:beforeAutospacing="1" w:after="100" w:afterAutospacing="1" w:line="240" w:lineRule="auto"/>
      </w:pPr>
      <w:r>
        <w:t xml:space="preserve">In addition to these programme wide priorities, the separate </w:t>
      </w:r>
      <w:r w:rsidR="00897E42">
        <w:t>LEP areas have priorities</w:t>
      </w:r>
      <w:r>
        <w:t>:</w:t>
      </w:r>
    </w:p>
    <w:p w14:paraId="2697DD42" w14:textId="77777777" w:rsidR="00897E42" w:rsidRDefault="00897E42" w:rsidP="003608E9">
      <w:pPr>
        <w:pStyle w:val="ListParagraph"/>
        <w:numPr>
          <w:ilvl w:val="0"/>
          <w:numId w:val="3"/>
        </w:numPr>
        <w:shd w:val="clear" w:color="auto" w:fill="FFFFFF"/>
        <w:spacing w:before="100" w:beforeAutospacing="1" w:after="100" w:afterAutospacing="1" w:line="240" w:lineRule="auto"/>
        <w:jc w:val="both"/>
      </w:pPr>
      <w:r>
        <w:t>Swindon and Wiltshire: enterprise support service to tackle financial exclusion; establishing routes towards and into work with employers, and promoting inclusion through learning and volunteering</w:t>
      </w:r>
    </w:p>
    <w:p w14:paraId="2B1002C5" w14:textId="77777777" w:rsidR="00897E42" w:rsidRDefault="00897E42" w:rsidP="003608E9">
      <w:pPr>
        <w:pStyle w:val="ListParagraph"/>
        <w:numPr>
          <w:ilvl w:val="0"/>
          <w:numId w:val="3"/>
        </w:numPr>
        <w:shd w:val="clear" w:color="auto" w:fill="FFFFFF"/>
        <w:spacing w:before="100" w:beforeAutospacing="1" w:after="100" w:afterAutospacing="1" w:line="240" w:lineRule="auto"/>
        <w:jc w:val="both"/>
      </w:pPr>
      <w:r>
        <w:t xml:space="preserve">Thames Valley Berkshire: residents in areas of multiple deprivation and </w:t>
      </w:r>
      <w:r w:rsidRPr="002D4DC0">
        <w:rPr>
          <w:rFonts w:eastAsiaTheme="minorEastAsia" w:cs="Arial"/>
        </w:rPr>
        <w:t>people in particular communities of interest (rather than geographically focused), who share common barriers to economic and social inclusion</w:t>
      </w:r>
      <w:r>
        <w:rPr>
          <w:rFonts w:eastAsiaTheme="minorEastAsia" w:cs="Arial"/>
        </w:rPr>
        <w:t>.</w:t>
      </w:r>
    </w:p>
    <w:p w14:paraId="20471895" w14:textId="77777777" w:rsidR="0015101B" w:rsidRDefault="0015101B" w:rsidP="003608E9">
      <w:pPr>
        <w:pStyle w:val="ListParagraph"/>
        <w:numPr>
          <w:ilvl w:val="0"/>
          <w:numId w:val="3"/>
        </w:numPr>
        <w:shd w:val="clear" w:color="auto" w:fill="FFFFFF"/>
        <w:spacing w:before="100" w:beforeAutospacing="1" w:after="100" w:afterAutospacing="1" w:line="240" w:lineRule="auto"/>
        <w:jc w:val="both"/>
      </w:pPr>
      <w:r>
        <w:t>Dorset: Those in rural areas and within isolated pockets in urban areas who face barriers to accessing the labour market.</w:t>
      </w:r>
    </w:p>
    <w:p w14:paraId="6286DDE0" w14:textId="77777777" w:rsidR="0015101B" w:rsidRDefault="0015101B" w:rsidP="003608E9">
      <w:pPr>
        <w:pStyle w:val="ListParagraph"/>
        <w:numPr>
          <w:ilvl w:val="0"/>
          <w:numId w:val="3"/>
        </w:numPr>
        <w:shd w:val="clear" w:color="auto" w:fill="FFFFFF"/>
        <w:spacing w:before="100" w:beforeAutospacing="1" w:after="100" w:afterAutospacing="1" w:line="240" w:lineRule="auto"/>
        <w:jc w:val="both"/>
      </w:pPr>
      <w:r>
        <w:t xml:space="preserve">London North &amp; East: parents/mothers, carers, </w:t>
      </w:r>
      <w:r w:rsidR="00897E42">
        <w:t>BAME groups, migrants and refugees, homeless, ex-offenders</w:t>
      </w:r>
    </w:p>
    <w:p w14:paraId="4723CA9B" w14:textId="0AC76460" w:rsidR="00F71DA0" w:rsidRPr="004D173D" w:rsidRDefault="00F71DA0" w:rsidP="003608E9">
      <w:pPr>
        <w:shd w:val="clear" w:color="auto" w:fill="FFFFFF"/>
        <w:spacing w:before="100" w:beforeAutospacing="1" w:after="100" w:afterAutospacing="1" w:line="240" w:lineRule="auto"/>
        <w:jc w:val="both"/>
      </w:pPr>
      <w:r>
        <w:t xml:space="preserve">All projects must be completed by </w:t>
      </w:r>
      <w:r w:rsidR="00C26E5E">
        <w:t>28 February 2023</w:t>
      </w:r>
      <w:r>
        <w:t>.</w:t>
      </w:r>
      <w:r w:rsidR="00C26E5E">
        <w:t xml:space="preserve"> Please note that all participants must be enrolled on your project prior to 31 August</w:t>
      </w:r>
      <w:r w:rsidR="003608E9">
        <w:t xml:space="preserve"> 2022 </w:t>
      </w:r>
      <w:r w:rsidR="003608E9" w:rsidRPr="003608E9">
        <w:rPr>
          <w:i/>
        </w:rPr>
        <w:t>(this</w:t>
      </w:r>
      <w:r w:rsidR="003608E9">
        <w:t xml:space="preserve"> </w:t>
      </w:r>
      <w:r w:rsidR="003608E9" w:rsidRPr="0016023E">
        <w:rPr>
          <w:i/>
          <w:lang w:val="en-US"/>
        </w:rPr>
        <w:t>date is indicative and has yet to be confirmed by the ESFA, we therefore encourage you to proceed with participant recruitment and activi</w:t>
      </w:r>
      <w:r w:rsidR="003608E9">
        <w:rPr>
          <w:i/>
          <w:lang w:val="en-US"/>
        </w:rPr>
        <w:t>ty delivery as soon as possible).</w:t>
      </w:r>
    </w:p>
    <w:p w14:paraId="6AFABABB" w14:textId="77777777" w:rsidR="00897E42" w:rsidRPr="00897E42" w:rsidRDefault="00897E42" w:rsidP="003608E9">
      <w:pPr>
        <w:shd w:val="clear" w:color="auto" w:fill="FFFFFF"/>
        <w:spacing w:before="100" w:beforeAutospacing="1" w:after="100" w:afterAutospacing="1" w:line="240" w:lineRule="auto"/>
        <w:jc w:val="both"/>
        <w:rPr>
          <w:i/>
        </w:rPr>
      </w:pPr>
      <w:r w:rsidRPr="00897E42">
        <w:rPr>
          <w:i/>
        </w:rPr>
        <w:t>Please note that these priorities may change over the course of the programme, and you should check for the most recent version of this prospectus document when making applications.</w:t>
      </w:r>
    </w:p>
    <w:p w14:paraId="2FDA8867" w14:textId="77777777" w:rsidR="00FC0B41" w:rsidRPr="008A48CF" w:rsidRDefault="00897E42" w:rsidP="008A48CF">
      <w:pPr>
        <w:shd w:val="clear" w:color="auto" w:fill="FFFFFF"/>
        <w:spacing w:before="100" w:beforeAutospacing="1" w:after="100" w:afterAutospacing="1" w:line="240" w:lineRule="auto"/>
        <w:rPr>
          <w:b/>
        </w:rPr>
      </w:pPr>
      <w:r w:rsidRPr="008A48CF">
        <w:rPr>
          <w:b/>
        </w:rPr>
        <w:t>How much can I apply for?</w:t>
      </w:r>
    </w:p>
    <w:p w14:paraId="6DAFA39E" w14:textId="77777777" w:rsidR="00897E42" w:rsidRDefault="00897E42" w:rsidP="00A77136">
      <w:pPr>
        <w:jc w:val="both"/>
      </w:pPr>
      <w:r>
        <w:t xml:space="preserve">Grants of £5,000 to £20,000 are available in all LEP areas administered by Groundwork London. We look for applicants to clearly explain how the grant funding will be used and how it will be used efficiently and effectively to deliver project outcomes. </w:t>
      </w:r>
    </w:p>
    <w:p w14:paraId="0624DA31" w14:textId="656D307B" w:rsidR="00897E42" w:rsidRDefault="00897E42" w:rsidP="00A77136">
      <w:pPr>
        <w:jc w:val="both"/>
      </w:pPr>
      <w:r>
        <w:t xml:space="preserve">In addition to explaining how funding will be used as above, you will also need to explain the cost per participant that you are proposing. There is </w:t>
      </w:r>
      <w:r w:rsidR="00586B10">
        <w:t xml:space="preserve">an indicative maximum </w:t>
      </w:r>
      <w:r>
        <w:t xml:space="preserve">cost per participant for each of the LEP areas – you will need to provide very robust reasoning if you </w:t>
      </w:r>
      <w:r w:rsidR="00586B10">
        <w:t>wish to exceed this</w:t>
      </w:r>
      <w:r>
        <w:t>. Those amounts are:</w:t>
      </w:r>
    </w:p>
    <w:p w14:paraId="4ED32B98" w14:textId="77777777" w:rsidR="00897E42" w:rsidRDefault="00897E42" w:rsidP="00897E42">
      <w:pPr>
        <w:pStyle w:val="ListParagraph"/>
        <w:numPr>
          <w:ilvl w:val="0"/>
          <w:numId w:val="3"/>
        </w:numPr>
        <w:jc w:val="both"/>
      </w:pPr>
      <w:r>
        <w:t>Swindon and Wiltshire - £1175.55</w:t>
      </w:r>
    </w:p>
    <w:p w14:paraId="163C3CFD" w14:textId="77777777" w:rsidR="00897E42" w:rsidRDefault="00897E42" w:rsidP="00897E42">
      <w:pPr>
        <w:pStyle w:val="ListParagraph"/>
        <w:numPr>
          <w:ilvl w:val="0"/>
          <w:numId w:val="3"/>
        </w:numPr>
        <w:jc w:val="both"/>
      </w:pPr>
      <w:r>
        <w:t>Thames Valley Berkshire - £1226.67</w:t>
      </w:r>
    </w:p>
    <w:p w14:paraId="1FFC766D" w14:textId="77777777" w:rsidR="00897E42" w:rsidRDefault="00897E42" w:rsidP="00897E42">
      <w:pPr>
        <w:pStyle w:val="ListParagraph"/>
        <w:numPr>
          <w:ilvl w:val="0"/>
          <w:numId w:val="3"/>
        </w:numPr>
        <w:jc w:val="both"/>
      </w:pPr>
      <w:r>
        <w:lastRenderedPageBreak/>
        <w:t>Dorset - £1282.42</w:t>
      </w:r>
    </w:p>
    <w:p w14:paraId="3357F623" w14:textId="77777777" w:rsidR="00897E42" w:rsidRDefault="00897E42" w:rsidP="00897E42">
      <w:pPr>
        <w:pStyle w:val="ListParagraph"/>
        <w:numPr>
          <w:ilvl w:val="0"/>
          <w:numId w:val="3"/>
        </w:numPr>
        <w:jc w:val="both"/>
      </w:pPr>
      <w:r>
        <w:t>London North &amp; East - £1282.42</w:t>
      </w:r>
    </w:p>
    <w:p w14:paraId="508A5B94" w14:textId="77777777" w:rsidR="00897E42" w:rsidRDefault="008A48CF" w:rsidP="00B61204">
      <w:pPr>
        <w:keepNext/>
        <w:jc w:val="both"/>
        <w:rPr>
          <w:b/>
        </w:rPr>
      </w:pPr>
      <w:r>
        <w:rPr>
          <w:b/>
        </w:rPr>
        <w:t>What can I apply for?</w:t>
      </w:r>
    </w:p>
    <w:p w14:paraId="66E825D0" w14:textId="1196D65E" w:rsidR="008A48CF" w:rsidRDefault="008A48CF" w:rsidP="00B61204">
      <w:pPr>
        <w:keepNext/>
        <w:jc w:val="both"/>
      </w:pPr>
      <w:r>
        <w:t>The range of costs and activities covered by the Community Training Grants is very wide</w:t>
      </w:r>
      <w:r w:rsidR="00586B10">
        <w:t>. However this funding is for revenue, no capital costs can be funded. T</w:t>
      </w:r>
      <w:r>
        <w:t xml:space="preserve">he basic rule is that it should move people closer to employment or training. </w:t>
      </w:r>
      <w:r w:rsidR="00310562">
        <w:t>You will be required to spend monies only on those items in your application budget, unless otherwise agreed</w:t>
      </w:r>
      <w:r w:rsidR="00B61204">
        <w:t>.</w:t>
      </w:r>
    </w:p>
    <w:p w14:paraId="72FF8FB9" w14:textId="6A46C171" w:rsidR="008A48CF" w:rsidRDefault="008A48CF" w:rsidP="00897E42">
      <w:pPr>
        <w:jc w:val="both"/>
      </w:pPr>
      <w:r>
        <w:t>There are targets that the programme needs to achieve, and your proposal will be considered against the number of participants and progressions into training and employment that your project will achieve</w:t>
      </w:r>
      <w:r w:rsidR="00F71DA0">
        <w:t xml:space="preserve"> (Please note that these progressions must occur within 28 days of the participant completing their involvement with your project)</w:t>
      </w:r>
      <w:r>
        <w:t xml:space="preserve">. </w:t>
      </w:r>
      <w:r w:rsidR="00862608">
        <w:t>The following table sets out outcomes the programme must achieve prior to July 2021:</w:t>
      </w:r>
    </w:p>
    <w:tbl>
      <w:tblPr>
        <w:tblStyle w:val="TableGrid"/>
        <w:tblW w:w="0" w:type="auto"/>
        <w:tblLook w:val="04A0" w:firstRow="1" w:lastRow="0" w:firstColumn="1" w:lastColumn="0" w:noHBand="0" w:noVBand="1"/>
      </w:tblPr>
      <w:tblGrid>
        <w:gridCol w:w="2254"/>
        <w:gridCol w:w="2254"/>
        <w:gridCol w:w="2254"/>
        <w:gridCol w:w="2254"/>
      </w:tblGrid>
      <w:tr w:rsidR="00862608" w14:paraId="26D68CD0" w14:textId="77777777" w:rsidTr="00862608">
        <w:tc>
          <w:tcPr>
            <w:tcW w:w="2254" w:type="dxa"/>
          </w:tcPr>
          <w:p w14:paraId="5139B360" w14:textId="77777777" w:rsidR="00862608" w:rsidRDefault="00862608" w:rsidP="00897E42">
            <w:pPr>
              <w:jc w:val="both"/>
            </w:pPr>
            <w:r>
              <w:t>LEP area</w:t>
            </w:r>
          </w:p>
        </w:tc>
        <w:tc>
          <w:tcPr>
            <w:tcW w:w="2254" w:type="dxa"/>
          </w:tcPr>
          <w:p w14:paraId="2DA35DCA" w14:textId="77777777" w:rsidR="00862608" w:rsidRDefault="00862608" w:rsidP="00897E42">
            <w:pPr>
              <w:jc w:val="both"/>
            </w:pPr>
            <w:r>
              <w:t>Participants</w:t>
            </w:r>
          </w:p>
        </w:tc>
        <w:tc>
          <w:tcPr>
            <w:tcW w:w="2254" w:type="dxa"/>
          </w:tcPr>
          <w:p w14:paraId="6F51E825" w14:textId="77777777" w:rsidR="00862608" w:rsidRDefault="00862608" w:rsidP="00897E42">
            <w:pPr>
              <w:jc w:val="both"/>
            </w:pPr>
            <w:r>
              <w:t>Paid employment</w:t>
            </w:r>
          </w:p>
        </w:tc>
        <w:tc>
          <w:tcPr>
            <w:tcW w:w="2254" w:type="dxa"/>
          </w:tcPr>
          <w:p w14:paraId="3443C482" w14:textId="77777777" w:rsidR="00862608" w:rsidRDefault="00862608" w:rsidP="00897E42">
            <w:pPr>
              <w:jc w:val="both"/>
            </w:pPr>
            <w:r>
              <w:t>Education</w:t>
            </w:r>
          </w:p>
        </w:tc>
      </w:tr>
      <w:tr w:rsidR="00862608" w14:paraId="7D286710" w14:textId="77777777" w:rsidTr="00862608">
        <w:tc>
          <w:tcPr>
            <w:tcW w:w="2254" w:type="dxa"/>
          </w:tcPr>
          <w:p w14:paraId="0FE4DC62" w14:textId="77777777" w:rsidR="00862608" w:rsidRDefault="00862608" w:rsidP="00897E42">
            <w:pPr>
              <w:jc w:val="both"/>
            </w:pPr>
            <w:r>
              <w:t>Swindon &amp; Wiltshire</w:t>
            </w:r>
          </w:p>
        </w:tc>
        <w:tc>
          <w:tcPr>
            <w:tcW w:w="2254" w:type="dxa"/>
          </w:tcPr>
          <w:p w14:paraId="59E766C1" w14:textId="77777777" w:rsidR="00862608" w:rsidRDefault="00862608" w:rsidP="00897E42">
            <w:pPr>
              <w:jc w:val="both"/>
            </w:pPr>
            <w:r>
              <w:t>126</w:t>
            </w:r>
          </w:p>
        </w:tc>
        <w:tc>
          <w:tcPr>
            <w:tcW w:w="2254" w:type="dxa"/>
          </w:tcPr>
          <w:p w14:paraId="1D5DDB13" w14:textId="77777777" w:rsidR="00862608" w:rsidRDefault="00862608" w:rsidP="00897E42">
            <w:pPr>
              <w:jc w:val="both"/>
            </w:pPr>
            <w:r>
              <w:t>21</w:t>
            </w:r>
          </w:p>
        </w:tc>
        <w:tc>
          <w:tcPr>
            <w:tcW w:w="2254" w:type="dxa"/>
          </w:tcPr>
          <w:p w14:paraId="34AA1D07" w14:textId="77777777" w:rsidR="00862608" w:rsidRDefault="00862608" w:rsidP="00897E42">
            <w:pPr>
              <w:jc w:val="both"/>
            </w:pPr>
            <w:r>
              <w:t>18</w:t>
            </w:r>
          </w:p>
        </w:tc>
      </w:tr>
      <w:tr w:rsidR="00862608" w14:paraId="23285852" w14:textId="77777777" w:rsidTr="00862608">
        <w:tc>
          <w:tcPr>
            <w:tcW w:w="2254" w:type="dxa"/>
          </w:tcPr>
          <w:p w14:paraId="1206C2A2" w14:textId="77777777" w:rsidR="00862608" w:rsidRDefault="00862608" w:rsidP="00897E42">
            <w:pPr>
              <w:jc w:val="both"/>
            </w:pPr>
            <w:r>
              <w:t>Thames Valley Berkshire</w:t>
            </w:r>
          </w:p>
        </w:tc>
        <w:tc>
          <w:tcPr>
            <w:tcW w:w="2254" w:type="dxa"/>
          </w:tcPr>
          <w:p w14:paraId="28657108" w14:textId="77777777" w:rsidR="00862608" w:rsidRDefault="00862608" w:rsidP="00897E42">
            <w:pPr>
              <w:jc w:val="both"/>
            </w:pPr>
            <w:r>
              <w:t>664</w:t>
            </w:r>
          </w:p>
        </w:tc>
        <w:tc>
          <w:tcPr>
            <w:tcW w:w="2254" w:type="dxa"/>
          </w:tcPr>
          <w:p w14:paraId="56AE11E0" w14:textId="77777777" w:rsidR="00862608" w:rsidRDefault="00862608" w:rsidP="00897E42">
            <w:pPr>
              <w:jc w:val="both"/>
            </w:pPr>
            <w:r>
              <w:t>113</w:t>
            </w:r>
          </w:p>
        </w:tc>
        <w:tc>
          <w:tcPr>
            <w:tcW w:w="2254" w:type="dxa"/>
          </w:tcPr>
          <w:p w14:paraId="6EF0B3A3" w14:textId="77777777" w:rsidR="00862608" w:rsidRDefault="00862608" w:rsidP="00897E42">
            <w:pPr>
              <w:jc w:val="both"/>
            </w:pPr>
            <w:r>
              <w:t>93</w:t>
            </w:r>
          </w:p>
        </w:tc>
      </w:tr>
      <w:tr w:rsidR="00862608" w14:paraId="5D3C4E26" w14:textId="77777777" w:rsidTr="00862608">
        <w:tc>
          <w:tcPr>
            <w:tcW w:w="2254" w:type="dxa"/>
          </w:tcPr>
          <w:p w14:paraId="5DD10F0A" w14:textId="77777777" w:rsidR="00862608" w:rsidRDefault="00862608" w:rsidP="00897E42">
            <w:pPr>
              <w:jc w:val="both"/>
            </w:pPr>
            <w:r>
              <w:t xml:space="preserve">Dorset </w:t>
            </w:r>
          </w:p>
        </w:tc>
        <w:tc>
          <w:tcPr>
            <w:tcW w:w="2254" w:type="dxa"/>
          </w:tcPr>
          <w:p w14:paraId="383AD6E3" w14:textId="77777777" w:rsidR="00862608" w:rsidRDefault="00862608" w:rsidP="00897E42">
            <w:pPr>
              <w:jc w:val="both"/>
            </w:pPr>
            <w:r>
              <w:t>893</w:t>
            </w:r>
          </w:p>
        </w:tc>
        <w:tc>
          <w:tcPr>
            <w:tcW w:w="2254" w:type="dxa"/>
          </w:tcPr>
          <w:p w14:paraId="44529DA7" w14:textId="77777777" w:rsidR="00862608" w:rsidRDefault="00862608" w:rsidP="00897E42">
            <w:pPr>
              <w:jc w:val="both"/>
            </w:pPr>
            <w:r>
              <w:t>152</w:t>
            </w:r>
          </w:p>
        </w:tc>
        <w:tc>
          <w:tcPr>
            <w:tcW w:w="2254" w:type="dxa"/>
          </w:tcPr>
          <w:p w14:paraId="3076EBAE" w14:textId="77777777" w:rsidR="00862608" w:rsidRDefault="00862608" w:rsidP="00897E42">
            <w:pPr>
              <w:jc w:val="both"/>
            </w:pPr>
            <w:r>
              <w:t>125</w:t>
            </w:r>
          </w:p>
        </w:tc>
      </w:tr>
      <w:tr w:rsidR="00862608" w14:paraId="4D53A44F" w14:textId="77777777" w:rsidTr="00862608">
        <w:tc>
          <w:tcPr>
            <w:tcW w:w="2254" w:type="dxa"/>
          </w:tcPr>
          <w:p w14:paraId="6D8EDCC5" w14:textId="77777777" w:rsidR="00862608" w:rsidRDefault="00862608" w:rsidP="00897E42">
            <w:pPr>
              <w:jc w:val="both"/>
            </w:pPr>
            <w:r>
              <w:t>London North &amp; East</w:t>
            </w:r>
          </w:p>
        </w:tc>
        <w:tc>
          <w:tcPr>
            <w:tcW w:w="2254" w:type="dxa"/>
          </w:tcPr>
          <w:p w14:paraId="1CB87106" w14:textId="77777777" w:rsidR="00862608" w:rsidRDefault="00862608" w:rsidP="00897E42">
            <w:pPr>
              <w:jc w:val="both"/>
            </w:pPr>
            <w:r>
              <w:t>1239</w:t>
            </w:r>
          </w:p>
        </w:tc>
        <w:tc>
          <w:tcPr>
            <w:tcW w:w="2254" w:type="dxa"/>
          </w:tcPr>
          <w:p w14:paraId="6AD4A59B" w14:textId="77777777" w:rsidR="00862608" w:rsidRDefault="00862608" w:rsidP="00897E42">
            <w:pPr>
              <w:jc w:val="both"/>
            </w:pPr>
            <w:r>
              <w:t>211</w:t>
            </w:r>
          </w:p>
        </w:tc>
        <w:tc>
          <w:tcPr>
            <w:tcW w:w="2254" w:type="dxa"/>
          </w:tcPr>
          <w:p w14:paraId="7AE20E83" w14:textId="77777777" w:rsidR="00862608" w:rsidRDefault="00862608" w:rsidP="00897E42">
            <w:pPr>
              <w:jc w:val="both"/>
            </w:pPr>
            <w:r>
              <w:t>173</w:t>
            </w:r>
          </w:p>
        </w:tc>
      </w:tr>
    </w:tbl>
    <w:p w14:paraId="00E602B6" w14:textId="77777777" w:rsidR="009210B8" w:rsidRDefault="009210B8" w:rsidP="00897E42">
      <w:pPr>
        <w:jc w:val="both"/>
        <w:rPr>
          <w:b/>
        </w:rPr>
      </w:pPr>
    </w:p>
    <w:p w14:paraId="1CD35A1F" w14:textId="77777777" w:rsidR="00862608" w:rsidRDefault="00504FBB" w:rsidP="00897E42">
      <w:pPr>
        <w:jc w:val="both"/>
        <w:rPr>
          <w:b/>
        </w:rPr>
      </w:pPr>
      <w:r>
        <w:rPr>
          <w:b/>
        </w:rPr>
        <w:t>When would I receive the money?</w:t>
      </w:r>
    </w:p>
    <w:p w14:paraId="73350E8E" w14:textId="77777777" w:rsidR="00586B10" w:rsidRDefault="00504FBB" w:rsidP="00897E42">
      <w:pPr>
        <w:jc w:val="both"/>
      </w:pPr>
      <w:r>
        <w:t>If we make an offer of funding, this will be conditional on</w:t>
      </w:r>
      <w:r w:rsidR="00586B10">
        <w:t>:</w:t>
      </w:r>
    </w:p>
    <w:p w14:paraId="557C5FBC" w14:textId="4560BCEF" w:rsidR="00586B10" w:rsidRDefault="00586B10" w:rsidP="00CB0C75">
      <w:pPr>
        <w:pStyle w:val="ListParagraph"/>
        <w:numPr>
          <w:ilvl w:val="0"/>
          <w:numId w:val="6"/>
        </w:numPr>
        <w:jc w:val="both"/>
      </w:pPr>
      <w:r>
        <w:t>P</w:t>
      </w:r>
      <w:r w:rsidR="00504FBB">
        <w:t xml:space="preserve">roviding Due Diligence information, such as financial documents and bank account information. </w:t>
      </w:r>
    </w:p>
    <w:p w14:paraId="1F719CC5" w14:textId="77777777" w:rsidR="00586B10" w:rsidRDefault="00586B10" w:rsidP="00CB0C75">
      <w:pPr>
        <w:pStyle w:val="ListParagraph"/>
        <w:numPr>
          <w:ilvl w:val="0"/>
          <w:numId w:val="6"/>
        </w:numPr>
        <w:jc w:val="both"/>
      </w:pPr>
      <w:r>
        <w:t>Providing any supplementary information that the Grant Panel might have requested.</w:t>
      </w:r>
    </w:p>
    <w:p w14:paraId="6497F380" w14:textId="77777777" w:rsidR="00504FBB" w:rsidRDefault="00504FBB" w:rsidP="00CB0C75">
      <w:pPr>
        <w:ind w:left="45"/>
        <w:jc w:val="both"/>
      </w:pPr>
      <w:r>
        <w:t>Once we have received this and you have signed the Funding Agreement</w:t>
      </w:r>
      <w:r w:rsidR="00310562">
        <w:t xml:space="preserve"> we will make payments in three stages:</w:t>
      </w:r>
    </w:p>
    <w:p w14:paraId="34656FB6" w14:textId="77777777" w:rsidR="00310562" w:rsidRDefault="00310562" w:rsidP="00310562">
      <w:pPr>
        <w:pStyle w:val="ListParagraph"/>
        <w:numPr>
          <w:ilvl w:val="0"/>
          <w:numId w:val="3"/>
        </w:numPr>
        <w:jc w:val="both"/>
      </w:pPr>
      <w:r>
        <w:t>20% of the award up front for the set up costs of your project;</w:t>
      </w:r>
    </w:p>
    <w:p w14:paraId="327B5669" w14:textId="77777777" w:rsidR="00310562" w:rsidRDefault="00310562" w:rsidP="00310562">
      <w:pPr>
        <w:pStyle w:val="ListParagraph"/>
        <w:numPr>
          <w:ilvl w:val="0"/>
          <w:numId w:val="5"/>
        </w:numPr>
        <w:rPr>
          <w:rFonts w:eastAsia="Times New Roman" w:cs="Arial"/>
          <w:bCs/>
          <w:szCs w:val="20"/>
          <w:lang w:eastAsia="en-GB"/>
        </w:rPr>
      </w:pPr>
      <w:r>
        <w:t xml:space="preserve">50% </w:t>
      </w:r>
      <w:r>
        <w:rPr>
          <w:rFonts w:eastAsia="Times New Roman" w:cs="Arial"/>
          <w:bCs/>
          <w:szCs w:val="20"/>
          <w:lang w:eastAsia="en-GB"/>
        </w:rPr>
        <w:t>on recruitment of 50% of your stated participants; and</w:t>
      </w:r>
    </w:p>
    <w:p w14:paraId="40AEC3F3" w14:textId="77777777" w:rsidR="00310562" w:rsidRPr="00310562" w:rsidRDefault="00310562" w:rsidP="00310562">
      <w:pPr>
        <w:pStyle w:val="ListParagraph"/>
        <w:numPr>
          <w:ilvl w:val="0"/>
          <w:numId w:val="3"/>
        </w:numPr>
        <w:jc w:val="both"/>
      </w:pPr>
      <w:r>
        <w:rPr>
          <w:rFonts w:eastAsia="Times New Roman" w:cs="Arial"/>
          <w:bCs/>
          <w:szCs w:val="20"/>
          <w:lang w:eastAsia="en-GB"/>
        </w:rPr>
        <w:t>30% on completion of the project and completion of all participant learner information, including whether they have progressed into training, education or employment. This will be paid in arrears.</w:t>
      </w:r>
    </w:p>
    <w:p w14:paraId="0BA017E6" w14:textId="77777777" w:rsidR="00310562" w:rsidRDefault="00310562" w:rsidP="00310562">
      <w:pPr>
        <w:jc w:val="both"/>
        <w:rPr>
          <w:b/>
        </w:rPr>
      </w:pPr>
      <w:r>
        <w:rPr>
          <w:b/>
        </w:rPr>
        <w:t>What will I need to provide reporting/monitoring on?</w:t>
      </w:r>
    </w:p>
    <w:p w14:paraId="17C18522" w14:textId="77777777" w:rsidR="00310562" w:rsidRDefault="0086106D" w:rsidP="00310562">
      <w:pPr>
        <w:jc w:val="both"/>
      </w:pPr>
      <w:r>
        <w:t>Examples of what y</w:t>
      </w:r>
      <w:r w:rsidR="00310562">
        <w:t xml:space="preserve">ou will be required to provide information on </w:t>
      </w:r>
      <w:r>
        <w:t>is as follows</w:t>
      </w:r>
      <w:r w:rsidR="00310562">
        <w:t>:</w:t>
      </w:r>
    </w:p>
    <w:p w14:paraId="761D3421" w14:textId="77777777" w:rsidR="00310562" w:rsidRDefault="00310562" w:rsidP="00310562">
      <w:pPr>
        <w:pStyle w:val="ListParagraph"/>
        <w:numPr>
          <w:ilvl w:val="0"/>
          <w:numId w:val="3"/>
        </w:numPr>
        <w:jc w:val="both"/>
      </w:pPr>
      <w:r>
        <w:t>How you have spent your grant;</w:t>
      </w:r>
    </w:p>
    <w:p w14:paraId="5965BA77" w14:textId="77777777" w:rsidR="00310562" w:rsidRDefault="00310562" w:rsidP="00310562">
      <w:pPr>
        <w:pStyle w:val="ListParagraph"/>
        <w:numPr>
          <w:ilvl w:val="0"/>
          <w:numId w:val="3"/>
        </w:numPr>
        <w:jc w:val="both"/>
      </w:pPr>
      <w:r>
        <w:t>What successes and difficulties you project has had;</w:t>
      </w:r>
    </w:p>
    <w:p w14:paraId="2EAF5766" w14:textId="77777777" w:rsidR="00310562" w:rsidRDefault="00310562" w:rsidP="00310562">
      <w:pPr>
        <w:pStyle w:val="ListParagraph"/>
        <w:numPr>
          <w:ilvl w:val="0"/>
          <w:numId w:val="3"/>
        </w:numPr>
        <w:jc w:val="both"/>
      </w:pPr>
      <w:r>
        <w:lastRenderedPageBreak/>
        <w:t>How many people have participated;</w:t>
      </w:r>
    </w:p>
    <w:p w14:paraId="17B8BAAD" w14:textId="77777777" w:rsidR="00310562" w:rsidRDefault="00310562" w:rsidP="00310562">
      <w:pPr>
        <w:pStyle w:val="ListParagraph"/>
        <w:numPr>
          <w:ilvl w:val="0"/>
          <w:numId w:val="3"/>
        </w:numPr>
        <w:jc w:val="both"/>
      </w:pPr>
      <w:r>
        <w:t xml:space="preserve">What </w:t>
      </w:r>
      <w:r w:rsidR="0086106D">
        <w:t>activities were run.</w:t>
      </w:r>
    </w:p>
    <w:p w14:paraId="24DE316D" w14:textId="77777777" w:rsidR="0086106D" w:rsidRDefault="0086106D" w:rsidP="0086106D">
      <w:pPr>
        <w:jc w:val="both"/>
      </w:pPr>
      <w:r>
        <w:t>We will also require you to provide information on individual participants through an online portal. We will provide you with further instructions on this portal if you are successful, but an outline of what we will require is:</w:t>
      </w:r>
    </w:p>
    <w:p w14:paraId="7B1AED5F" w14:textId="77777777" w:rsidR="0086106D" w:rsidRDefault="0086106D" w:rsidP="0086106D">
      <w:pPr>
        <w:pStyle w:val="ListParagraph"/>
        <w:numPr>
          <w:ilvl w:val="0"/>
          <w:numId w:val="3"/>
        </w:numPr>
        <w:jc w:val="both"/>
      </w:pPr>
      <w:r>
        <w:t>The participants personal details, including around eligibility;</w:t>
      </w:r>
    </w:p>
    <w:p w14:paraId="5311605A" w14:textId="77777777" w:rsidR="0086106D" w:rsidRDefault="0086106D" w:rsidP="0086106D">
      <w:pPr>
        <w:pStyle w:val="ListParagraph"/>
        <w:numPr>
          <w:ilvl w:val="0"/>
          <w:numId w:val="3"/>
        </w:numPr>
        <w:jc w:val="both"/>
      </w:pPr>
      <w:r>
        <w:t>The progress and learning plan for the participant; and</w:t>
      </w:r>
    </w:p>
    <w:p w14:paraId="5CAA4CDD" w14:textId="77777777" w:rsidR="00586B10" w:rsidRDefault="0086106D" w:rsidP="0086106D">
      <w:pPr>
        <w:pStyle w:val="ListParagraph"/>
        <w:numPr>
          <w:ilvl w:val="0"/>
          <w:numId w:val="3"/>
        </w:numPr>
        <w:jc w:val="both"/>
      </w:pPr>
      <w:r>
        <w:t>Details on the participants</w:t>
      </w:r>
      <w:r w:rsidR="00586B10">
        <w:t>’</w:t>
      </w:r>
      <w:r>
        <w:t xml:space="preserve"> completion of the activities</w:t>
      </w:r>
      <w:r w:rsidR="00586B10">
        <w:t>.</w:t>
      </w:r>
    </w:p>
    <w:p w14:paraId="0C5390E8" w14:textId="3BC6AA1F" w:rsidR="0086106D" w:rsidRDefault="00586B10" w:rsidP="0086106D">
      <w:pPr>
        <w:pStyle w:val="ListParagraph"/>
        <w:numPr>
          <w:ilvl w:val="0"/>
          <w:numId w:val="3"/>
        </w:numPr>
        <w:jc w:val="both"/>
      </w:pPr>
      <w:r>
        <w:t xml:space="preserve">Proof of </w:t>
      </w:r>
      <w:r w:rsidR="0086106D">
        <w:t>progress</w:t>
      </w:r>
      <w:r>
        <w:t xml:space="preserve">ion </w:t>
      </w:r>
      <w:r w:rsidR="0086106D">
        <w:t>into education or employment</w:t>
      </w:r>
      <w:r>
        <w:t xml:space="preserve"> for those that do so</w:t>
      </w:r>
      <w:r w:rsidR="0086106D">
        <w:t>.</w:t>
      </w:r>
    </w:p>
    <w:p w14:paraId="783DF32C" w14:textId="77777777" w:rsidR="0088051C" w:rsidRPr="0088051C" w:rsidRDefault="0088051C" w:rsidP="0088051C">
      <w:pPr>
        <w:jc w:val="both"/>
        <w:rPr>
          <w:b/>
        </w:rPr>
      </w:pPr>
      <w:r w:rsidRPr="0088051C">
        <w:rPr>
          <w:b/>
        </w:rPr>
        <w:t>Is it worth applying in light of the COVID-19 situation?</w:t>
      </w:r>
    </w:p>
    <w:p w14:paraId="58AAD4D2" w14:textId="468D61B5" w:rsidR="0088051C" w:rsidRPr="0088051C" w:rsidRDefault="0088051C" w:rsidP="0088051C">
      <w:pPr>
        <w:jc w:val="both"/>
        <w:rPr>
          <w:b/>
        </w:rPr>
      </w:pPr>
      <w:r>
        <w:t xml:space="preserve">The ESFA </w:t>
      </w:r>
      <w:r w:rsidRPr="00175EFF">
        <w:t>Community Training Grants</w:t>
      </w:r>
      <w:r>
        <w:t xml:space="preserve"> programme</w:t>
      </w:r>
      <w:r w:rsidRPr="00175EFF">
        <w:t xml:space="preserve"> </w:t>
      </w:r>
      <w:r>
        <w:t xml:space="preserve">is committed to continue supporting those furthest away from the labour market. </w:t>
      </w:r>
      <w:r w:rsidRPr="00175EFF">
        <w:t>Projects funded through the Community Training Grants programme are not expected to start at least 3 months</w:t>
      </w:r>
      <w:r>
        <w:t xml:space="preserve"> after the application deadline e.g. if you apply by </w:t>
      </w:r>
      <w:r w:rsidR="009C5EF7">
        <w:t>10</w:t>
      </w:r>
      <w:bookmarkStart w:id="0" w:name="_GoBack"/>
      <w:bookmarkEnd w:id="0"/>
      <w:r w:rsidRPr="0088051C">
        <w:rPr>
          <w:vertAlign w:val="superscript"/>
        </w:rPr>
        <w:t>rd</w:t>
      </w:r>
      <w:r>
        <w:t xml:space="preserve"> August 2020, your project will not start until at least the beginning of November 2020.</w:t>
      </w:r>
      <w:r w:rsidRPr="00175EFF">
        <w:t xml:space="preserve"> If movement</w:t>
      </w:r>
      <w:r>
        <w:t>/gathering</w:t>
      </w:r>
      <w:r w:rsidRPr="00175EFF">
        <w:t xml:space="preserve"> restrictions still apply then, successful projects will have the possibility to adapt </w:t>
      </w:r>
      <w:r>
        <w:t>their project, for example deliver training via webinars. Any change to projects will have to be submitted to Groundwork London for review and approval before it is implemented, and Groundwork London can provide support in preparing any of these adaptations</w:t>
      </w:r>
      <w:r w:rsidRPr="00175EFF">
        <w:t xml:space="preserve">. </w:t>
      </w:r>
      <w:r>
        <w:t xml:space="preserve">Additionally </w:t>
      </w:r>
      <w:r w:rsidRPr="0088051C">
        <w:rPr>
          <w:bCs/>
          <w:lang w:val="en"/>
        </w:rPr>
        <w:t xml:space="preserve">requirements to collect supporting documents evidencing expenditure, enrolling participants and recording learning activity have been adapted to the current situation, allowing further flexibility, meaning that the </w:t>
      </w:r>
      <w:proofErr w:type="spellStart"/>
      <w:r w:rsidRPr="0088051C">
        <w:rPr>
          <w:bCs/>
          <w:lang w:val="en"/>
        </w:rPr>
        <w:t>programme</w:t>
      </w:r>
      <w:proofErr w:type="spellEnd"/>
      <w:r w:rsidRPr="0088051C">
        <w:rPr>
          <w:bCs/>
          <w:lang w:val="en"/>
        </w:rPr>
        <w:t xml:space="preserve"> is able to support projects during these unprecedented times and measures.</w:t>
      </w:r>
    </w:p>
    <w:p w14:paraId="7CEAC6DB" w14:textId="77777777" w:rsidR="0086106D" w:rsidRPr="0086106D" w:rsidRDefault="0086106D" w:rsidP="0086106D">
      <w:pPr>
        <w:jc w:val="both"/>
        <w:rPr>
          <w:b/>
        </w:rPr>
      </w:pPr>
      <w:r w:rsidRPr="0086106D">
        <w:rPr>
          <w:b/>
        </w:rPr>
        <w:t>Can I apply multiple times?</w:t>
      </w:r>
    </w:p>
    <w:p w14:paraId="55DBB0B3" w14:textId="4F79496B" w:rsidR="0086106D" w:rsidRDefault="0086106D" w:rsidP="0086106D">
      <w:pPr>
        <w:jc w:val="both"/>
      </w:pPr>
      <w:r>
        <w:t xml:space="preserve">Yes you can, though we will aim to reach as many different target groups and grant recipients as possible so we may prioritise applications from </w:t>
      </w:r>
      <w:r w:rsidR="00CB0C75">
        <w:t xml:space="preserve">organisations </w:t>
      </w:r>
      <w:r>
        <w:t>who have not already been funded. We would suggest not submitting multiple applications to the same panel as it is unlikely more than one would be funded unle</w:t>
      </w:r>
      <w:r w:rsidR="00C3587B">
        <w:t>ss there was a robust reason for doing so.</w:t>
      </w:r>
      <w:r w:rsidR="00586B10">
        <w:t xml:space="preserve">  We would also be unlikely to make an additional award until </w:t>
      </w:r>
      <w:r w:rsidR="00C169EB">
        <w:t xml:space="preserve">any previous </w:t>
      </w:r>
      <w:r w:rsidR="00586B10">
        <w:t>grant</w:t>
      </w:r>
      <w:r w:rsidR="00C169EB">
        <w:t xml:space="preserve"> had been successfully completed.</w:t>
      </w:r>
      <w:r w:rsidR="00586B10">
        <w:t xml:space="preserve"> </w:t>
      </w:r>
    </w:p>
    <w:p w14:paraId="6816A7A7" w14:textId="77777777" w:rsidR="00C3587B" w:rsidRDefault="00C3587B" w:rsidP="0086106D">
      <w:pPr>
        <w:jc w:val="both"/>
      </w:pPr>
      <w:r>
        <w:t>You should also ensure there is only one application per project – we will not fund applications where elements of the same project have been put into separate application to try and secure a greater amount of funding.</w:t>
      </w:r>
    </w:p>
    <w:p w14:paraId="482AAFB2" w14:textId="77777777" w:rsidR="00C3587B" w:rsidRDefault="00C3587B" w:rsidP="0086106D">
      <w:pPr>
        <w:jc w:val="both"/>
        <w:rPr>
          <w:b/>
        </w:rPr>
      </w:pPr>
      <w:r>
        <w:rPr>
          <w:b/>
        </w:rPr>
        <w:t>Who is providing the funding?</w:t>
      </w:r>
    </w:p>
    <w:p w14:paraId="28A32D70" w14:textId="77777777" w:rsidR="00C3587B" w:rsidRPr="00C3587B" w:rsidRDefault="00C3587B" w:rsidP="00C3587B">
      <w:pPr>
        <w:jc w:val="both"/>
      </w:pPr>
      <w:r w:rsidRPr="00C3587B">
        <w:t>The Education and Skills Funding Agency (ESFA) is accountable for funding education and skills for children, young people and adults.</w:t>
      </w:r>
    </w:p>
    <w:p w14:paraId="1712D923" w14:textId="77777777" w:rsidR="00C3587B" w:rsidRPr="00C3587B" w:rsidRDefault="00C3587B" w:rsidP="00C3587B">
      <w:pPr>
        <w:jc w:val="both"/>
      </w:pPr>
      <w:r w:rsidRPr="00C3587B">
        <w:t>The European Social Fund (ESF) invests in opportunities across the European Union, with a focus on improving employment and education.</w:t>
      </w:r>
    </w:p>
    <w:p w14:paraId="4920D713" w14:textId="77777777" w:rsidR="00C3587B" w:rsidRDefault="00C3587B" w:rsidP="00C3587B">
      <w:pPr>
        <w:jc w:val="both"/>
      </w:pPr>
      <w:r w:rsidRPr="00C3587B">
        <w:lastRenderedPageBreak/>
        <w:t xml:space="preserve">ESFA and ESF are co-financing Community Training Grants to offer skills, training and employment opportunities for individuals who are unemployed or </w:t>
      </w:r>
      <w:r>
        <w:t>economically inactive</w:t>
      </w:r>
      <w:r w:rsidRPr="00C3587B">
        <w:t>. </w:t>
      </w:r>
    </w:p>
    <w:p w14:paraId="0BE7D90F" w14:textId="78D081E0" w:rsidR="00B61204" w:rsidRPr="00B61204" w:rsidRDefault="00C26E5E" w:rsidP="00B61204">
      <w:pPr>
        <w:jc w:val="right"/>
        <w:rPr>
          <w:b/>
          <w:i/>
        </w:rPr>
      </w:pPr>
      <w:r>
        <w:rPr>
          <w:b/>
          <w:i/>
        </w:rPr>
        <w:t>July</w:t>
      </w:r>
      <w:r w:rsidR="00B61204" w:rsidRPr="00B61204">
        <w:rPr>
          <w:b/>
          <w:i/>
        </w:rPr>
        <w:t xml:space="preserve"> 20</w:t>
      </w:r>
      <w:r w:rsidR="003608E9">
        <w:rPr>
          <w:b/>
          <w:i/>
        </w:rPr>
        <w:t>20</w:t>
      </w:r>
    </w:p>
    <w:p w14:paraId="587ED02A" w14:textId="77777777" w:rsidR="00C3587B" w:rsidRPr="00C3587B" w:rsidRDefault="00C3587B" w:rsidP="0086106D">
      <w:pPr>
        <w:jc w:val="both"/>
        <w:rPr>
          <w:b/>
        </w:rPr>
      </w:pPr>
    </w:p>
    <w:sectPr w:rsidR="00C3587B" w:rsidRPr="00C3587B" w:rsidSect="00B61204">
      <w:headerReference w:type="default" r:id="rId7"/>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6E08" w14:textId="77777777" w:rsidR="00E51CA9" w:rsidRDefault="00E51CA9" w:rsidP="00B61204">
      <w:pPr>
        <w:spacing w:after="0" w:line="240" w:lineRule="auto"/>
      </w:pPr>
      <w:r>
        <w:separator/>
      </w:r>
    </w:p>
  </w:endnote>
  <w:endnote w:type="continuationSeparator" w:id="0">
    <w:p w14:paraId="11AF0299" w14:textId="77777777" w:rsidR="00E51CA9" w:rsidRDefault="00E51CA9" w:rsidP="00B6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DBC9" w14:textId="77777777" w:rsidR="00E51CA9" w:rsidRDefault="00E51CA9" w:rsidP="00B61204">
      <w:pPr>
        <w:spacing w:after="0" w:line="240" w:lineRule="auto"/>
      </w:pPr>
      <w:r>
        <w:separator/>
      </w:r>
    </w:p>
  </w:footnote>
  <w:footnote w:type="continuationSeparator" w:id="0">
    <w:p w14:paraId="4960606F" w14:textId="77777777" w:rsidR="00E51CA9" w:rsidRDefault="00E51CA9" w:rsidP="00B61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E051" w14:textId="77777777" w:rsidR="00B61204" w:rsidRDefault="00B61204">
    <w:pPr>
      <w:pStyle w:val="Header"/>
    </w:pPr>
    <w:r w:rsidRPr="00B61204">
      <w:rPr>
        <w:noProof/>
        <w:lang w:eastAsia="en-GB"/>
      </w:rPr>
      <w:drawing>
        <wp:inline distT="0" distB="0" distL="0" distR="0" wp14:anchorId="62B31BD4" wp14:editId="0C3F7BB9">
          <wp:extent cx="5731510" cy="1180201"/>
          <wp:effectExtent l="0" t="0" r="2540" b="1270"/>
          <wp:docPr id="25" name="Picture 25" descr="H:\GW London\Delivery\ESFA Community Grant Scheme\6. Marketing and PR\Fw__ESFA_grants_logo_lockup\ESF_ESFA_GW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 London\Delivery\ESFA Community Grant Scheme\6. Marketing and PR\Fw__ESFA_grants_logo_lockup\ESF_ESFA_GW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C67"/>
    <w:multiLevelType w:val="hybridMultilevel"/>
    <w:tmpl w:val="0212C2BA"/>
    <w:lvl w:ilvl="0" w:tplc="2CB22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178E"/>
    <w:multiLevelType w:val="hybridMultilevel"/>
    <w:tmpl w:val="A0B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572BC"/>
    <w:multiLevelType w:val="hybridMultilevel"/>
    <w:tmpl w:val="A9548E90"/>
    <w:lvl w:ilvl="0" w:tplc="CB6A58BC">
      <w:start w:val="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60700"/>
    <w:multiLevelType w:val="hybridMultilevel"/>
    <w:tmpl w:val="67CC96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9795A93"/>
    <w:multiLevelType w:val="multilevel"/>
    <w:tmpl w:val="292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4"/>
    <w:rsid w:val="0015101B"/>
    <w:rsid w:val="00310562"/>
    <w:rsid w:val="003608E9"/>
    <w:rsid w:val="00373F93"/>
    <w:rsid w:val="004212A4"/>
    <w:rsid w:val="004D173D"/>
    <w:rsid w:val="00504FBB"/>
    <w:rsid w:val="00586B10"/>
    <w:rsid w:val="007160C1"/>
    <w:rsid w:val="0086106D"/>
    <w:rsid w:val="00862608"/>
    <w:rsid w:val="0088051C"/>
    <w:rsid w:val="00897E42"/>
    <w:rsid w:val="008A48CF"/>
    <w:rsid w:val="009210B8"/>
    <w:rsid w:val="009C5EF7"/>
    <w:rsid w:val="00A77136"/>
    <w:rsid w:val="00B61204"/>
    <w:rsid w:val="00B77232"/>
    <w:rsid w:val="00C169EB"/>
    <w:rsid w:val="00C26E5E"/>
    <w:rsid w:val="00C3587B"/>
    <w:rsid w:val="00CB0C75"/>
    <w:rsid w:val="00D813DD"/>
    <w:rsid w:val="00E51CA9"/>
    <w:rsid w:val="00F71DA0"/>
    <w:rsid w:val="00FC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CECF"/>
  <w15:docId w15:val="{3419A75E-007A-49E0-A9CD-1E612040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B41"/>
    <w:rPr>
      <w:b/>
      <w:b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C0B41"/>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FC0B41"/>
  </w:style>
  <w:style w:type="table" w:styleId="TableGrid">
    <w:name w:val="Table Grid"/>
    <w:basedOn w:val="TableNormal"/>
    <w:uiPriority w:val="39"/>
    <w:rsid w:val="0086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8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04"/>
  </w:style>
  <w:style w:type="paragraph" w:styleId="Footer">
    <w:name w:val="footer"/>
    <w:basedOn w:val="Normal"/>
    <w:link w:val="FooterChar"/>
    <w:uiPriority w:val="99"/>
    <w:unhideWhenUsed/>
    <w:rsid w:val="00B6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04"/>
  </w:style>
  <w:style w:type="character" w:styleId="CommentReference">
    <w:name w:val="annotation reference"/>
    <w:basedOn w:val="DefaultParagraphFont"/>
    <w:uiPriority w:val="99"/>
    <w:semiHidden/>
    <w:unhideWhenUsed/>
    <w:rsid w:val="00586B10"/>
    <w:rPr>
      <w:sz w:val="16"/>
      <w:szCs w:val="16"/>
    </w:rPr>
  </w:style>
  <w:style w:type="paragraph" w:styleId="CommentText">
    <w:name w:val="annotation text"/>
    <w:basedOn w:val="Normal"/>
    <w:link w:val="CommentTextChar"/>
    <w:uiPriority w:val="99"/>
    <w:semiHidden/>
    <w:unhideWhenUsed/>
    <w:rsid w:val="00586B10"/>
    <w:pPr>
      <w:spacing w:line="240" w:lineRule="auto"/>
    </w:pPr>
    <w:rPr>
      <w:sz w:val="20"/>
      <w:szCs w:val="20"/>
    </w:rPr>
  </w:style>
  <w:style w:type="character" w:customStyle="1" w:styleId="CommentTextChar">
    <w:name w:val="Comment Text Char"/>
    <w:basedOn w:val="DefaultParagraphFont"/>
    <w:link w:val="CommentText"/>
    <w:uiPriority w:val="99"/>
    <w:semiHidden/>
    <w:rsid w:val="00586B10"/>
    <w:rPr>
      <w:sz w:val="20"/>
      <w:szCs w:val="20"/>
    </w:rPr>
  </w:style>
  <w:style w:type="paragraph" w:styleId="CommentSubject">
    <w:name w:val="annotation subject"/>
    <w:basedOn w:val="CommentText"/>
    <w:next w:val="CommentText"/>
    <w:link w:val="CommentSubjectChar"/>
    <w:uiPriority w:val="99"/>
    <w:semiHidden/>
    <w:unhideWhenUsed/>
    <w:rsid w:val="00586B10"/>
    <w:rPr>
      <w:b/>
      <w:bCs/>
    </w:rPr>
  </w:style>
  <w:style w:type="character" w:customStyle="1" w:styleId="CommentSubjectChar">
    <w:name w:val="Comment Subject Char"/>
    <w:basedOn w:val="CommentTextChar"/>
    <w:link w:val="CommentSubject"/>
    <w:uiPriority w:val="99"/>
    <w:semiHidden/>
    <w:rsid w:val="00586B10"/>
    <w:rPr>
      <w:b/>
      <w:bCs/>
      <w:sz w:val="20"/>
      <w:szCs w:val="20"/>
    </w:rPr>
  </w:style>
  <w:style w:type="paragraph" w:styleId="Revision">
    <w:name w:val="Revision"/>
    <w:hidden/>
    <w:uiPriority w:val="99"/>
    <w:semiHidden/>
    <w:rsid w:val="00586B10"/>
    <w:pPr>
      <w:spacing w:after="0" w:line="240" w:lineRule="auto"/>
    </w:pPr>
  </w:style>
  <w:style w:type="paragraph" w:styleId="BalloonText">
    <w:name w:val="Balloon Text"/>
    <w:basedOn w:val="Normal"/>
    <w:link w:val="BalloonTextChar"/>
    <w:uiPriority w:val="99"/>
    <w:semiHidden/>
    <w:unhideWhenUsed/>
    <w:rsid w:val="00586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9210">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Petry</dc:creator>
  <cp:lastModifiedBy>Melissa Mahdi</cp:lastModifiedBy>
  <cp:revision>5</cp:revision>
  <dcterms:created xsi:type="dcterms:W3CDTF">2020-06-11T11:21:00Z</dcterms:created>
  <dcterms:modified xsi:type="dcterms:W3CDTF">2020-06-30T15:08:00Z</dcterms:modified>
</cp:coreProperties>
</file>